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FE1E53" w14:paraId="2A131A54" w14:textId="77777777" w:rsidTr="00342A23">
        <w:trPr>
          <w:trHeight w:val="852"/>
          <w:jc w:val="center"/>
        </w:trPr>
        <w:tc>
          <w:tcPr>
            <w:tcW w:w="6940" w:type="dxa"/>
            <w:vMerge w:val="restart"/>
            <w:tcBorders>
              <w:right w:val="single" w:sz="4" w:space="0" w:color="auto"/>
            </w:tcBorders>
          </w:tcPr>
          <w:p w14:paraId="38C3D2BA" w14:textId="77777777" w:rsidR="000A03B2" w:rsidRPr="00FE1E53" w:rsidRDefault="000A03B2" w:rsidP="00DE264A">
            <w:pPr>
              <w:tabs>
                <w:tab w:val="left" w:pos="-108"/>
              </w:tabs>
              <w:ind w:left="-108"/>
              <w:jc w:val="left"/>
              <w:rPr>
                <w:rFonts w:cs="Arial"/>
                <w:b/>
                <w:bCs/>
                <w:i/>
                <w:iCs/>
                <w:color w:val="000066"/>
                <w:sz w:val="20"/>
                <w:lang w:eastAsia="it-IT"/>
              </w:rPr>
            </w:pPr>
            <w:bookmarkStart w:id="0" w:name="_Hlk145068772"/>
            <w:r w:rsidRPr="00FE1E53">
              <w:rPr>
                <w:rFonts w:ascii="AdvP6960" w:hAnsi="AdvP6960" w:cs="AdvP6960"/>
                <w:noProof/>
                <w:color w:val="241F20"/>
                <w:sz w:val="20"/>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FE1E53">
              <w:rPr>
                <w:rFonts w:ascii="AdvP6960" w:hAnsi="AdvP6960" w:cs="AdvP6960"/>
                <w:color w:val="241F20"/>
                <w:sz w:val="20"/>
                <w:lang w:eastAsia="it-IT"/>
              </w:rPr>
              <w:t xml:space="preserve"> </w:t>
            </w:r>
            <w:r w:rsidRPr="00FE1E53">
              <w:rPr>
                <w:rFonts w:cs="Arial"/>
                <w:b/>
                <w:bCs/>
                <w:i/>
                <w:iCs/>
                <w:color w:val="000066"/>
                <w:sz w:val="20"/>
                <w:lang w:eastAsia="it-IT"/>
              </w:rPr>
              <w:t>CHEMICAL ENGINEERING</w:t>
            </w:r>
            <w:r w:rsidRPr="00FE1E53">
              <w:rPr>
                <w:rFonts w:cs="Arial"/>
                <w:b/>
                <w:bCs/>
                <w:i/>
                <w:iCs/>
                <w:color w:val="0033FF"/>
                <w:sz w:val="20"/>
                <w:lang w:eastAsia="it-IT"/>
              </w:rPr>
              <w:t xml:space="preserve"> </w:t>
            </w:r>
            <w:r w:rsidRPr="00FE1E53">
              <w:rPr>
                <w:rFonts w:cs="Arial"/>
                <w:b/>
                <w:bCs/>
                <w:i/>
                <w:iCs/>
                <w:color w:val="666666"/>
                <w:sz w:val="20"/>
                <w:lang w:eastAsia="it-IT"/>
              </w:rPr>
              <w:t>TRANSACTIONS</w:t>
            </w:r>
            <w:r w:rsidRPr="00FE1E53">
              <w:rPr>
                <w:color w:val="333333"/>
                <w:sz w:val="20"/>
                <w:lang w:eastAsia="it-IT"/>
              </w:rPr>
              <w:t xml:space="preserve"> </w:t>
            </w:r>
            <w:r w:rsidRPr="00FE1E53">
              <w:rPr>
                <w:rFonts w:cs="Arial"/>
                <w:b/>
                <w:bCs/>
                <w:i/>
                <w:iCs/>
                <w:color w:val="000066"/>
                <w:sz w:val="20"/>
                <w:lang w:eastAsia="it-IT"/>
              </w:rPr>
              <w:br/>
            </w:r>
          </w:p>
          <w:p w14:paraId="4B780582" w14:textId="6E38DE18" w:rsidR="000A03B2" w:rsidRPr="00FE1E53" w:rsidRDefault="00A76EFC" w:rsidP="001D21AF">
            <w:pPr>
              <w:tabs>
                <w:tab w:val="left" w:pos="-108"/>
              </w:tabs>
              <w:ind w:left="-108"/>
              <w:rPr>
                <w:rFonts w:cs="Arial"/>
                <w:b/>
                <w:bCs/>
                <w:i/>
                <w:iCs/>
                <w:color w:val="000066"/>
                <w:sz w:val="20"/>
                <w:lang w:eastAsia="it-IT"/>
              </w:rPr>
            </w:pPr>
            <w:r w:rsidRPr="00FE1E53">
              <w:rPr>
                <w:rFonts w:cs="Arial"/>
                <w:b/>
                <w:bCs/>
                <w:i/>
                <w:iCs/>
                <w:color w:val="000066"/>
                <w:sz w:val="20"/>
                <w:lang w:eastAsia="it-IT"/>
              </w:rPr>
              <w:t>VOL.</w:t>
            </w:r>
            <w:r w:rsidR="00785BF9" w:rsidRPr="00FE1E53">
              <w:rPr>
                <w:rFonts w:cs="Arial"/>
                <w:b/>
                <w:bCs/>
                <w:i/>
                <w:iCs/>
                <w:color w:val="000066"/>
                <w:sz w:val="20"/>
                <w:lang w:eastAsia="it-IT"/>
              </w:rPr>
              <w:t xml:space="preserve"> </w:t>
            </w:r>
            <w:r w:rsidR="00AD0278" w:rsidRPr="00FE1E53">
              <w:rPr>
                <w:rFonts w:cs="Arial"/>
                <w:b/>
                <w:bCs/>
                <w:i/>
                <w:iCs/>
                <w:color w:val="000066"/>
                <w:sz w:val="20"/>
                <w:lang w:eastAsia="it-IT"/>
              </w:rPr>
              <w:t>xxx</w:t>
            </w:r>
            <w:r w:rsidR="007B48F9" w:rsidRPr="00FE1E53">
              <w:rPr>
                <w:rFonts w:cs="Arial"/>
                <w:b/>
                <w:bCs/>
                <w:i/>
                <w:iCs/>
                <w:color w:val="000066"/>
                <w:sz w:val="20"/>
                <w:lang w:eastAsia="it-IT"/>
              </w:rPr>
              <w:t>,</w:t>
            </w:r>
            <w:r w:rsidR="00FA5F5F" w:rsidRPr="00FE1E53">
              <w:rPr>
                <w:rFonts w:cs="Arial"/>
                <w:b/>
                <w:bCs/>
                <w:i/>
                <w:iCs/>
                <w:color w:val="000066"/>
                <w:sz w:val="20"/>
                <w:lang w:eastAsia="it-IT"/>
              </w:rPr>
              <w:t xml:space="preserve"> </w:t>
            </w:r>
            <w:r w:rsidR="0030152C" w:rsidRPr="00FE1E53">
              <w:rPr>
                <w:rFonts w:cs="Arial"/>
                <w:b/>
                <w:bCs/>
                <w:i/>
                <w:iCs/>
                <w:color w:val="000066"/>
                <w:sz w:val="20"/>
                <w:lang w:eastAsia="it-IT"/>
              </w:rPr>
              <w:t>202</w:t>
            </w:r>
            <w:r w:rsidR="00AD0278" w:rsidRPr="00FE1E53">
              <w:rPr>
                <w:rFonts w:cs="Arial"/>
                <w:b/>
                <w:bCs/>
                <w:i/>
                <w:iCs/>
                <w:color w:val="000066"/>
                <w:sz w:val="20"/>
                <w:lang w:eastAsia="it-IT"/>
              </w:rPr>
              <w:t>6</w:t>
            </w:r>
          </w:p>
        </w:tc>
        <w:tc>
          <w:tcPr>
            <w:tcW w:w="1842" w:type="dxa"/>
            <w:tcBorders>
              <w:left w:val="single" w:sz="4" w:space="0" w:color="auto"/>
              <w:bottom w:val="nil"/>
              <w:right w:val="single" w:sz="4" w:space="0" w:color="auto"/>
            </w:tcBorders>
          </w:tcPr>
          <w:p w14:paraId="56782132" w14:textId="77777777" w:rsidR="000A03B2" w:rsidRPr="00FE1E53" w:rsidRDefault="000A03B2" w:rsidP="00CD5FE2">
            <w:pPr>
              <w:spacing w:line="140" w:lineRule="atLeast"/>
              <w:jc w:val="right"/>
              <w:rPr>
                <w:rFonts w:cs="Arial"/>
                <w:sz w:val="20"/>
              </w:rPr>
            </w:pPr>
            <w:r w:rsidRPr="00FE1E53">
              <w:rPr>
                <w:rFonts w:cs="Arial"/>
                <w:sz w:val="20"/>
              </w:rPr>
              <w:t>A publication of</w:t>
            </w:r>
          </w:p>
          <w:p w14:paraId="599E5441" w14:textId="77777777" w:rsidR="000A03B2" w:rsidRPr="00FE1E53" w:rsidRDefault="000A03B2" w:rsidP="00CD5FE2">
            <w:pPr>
              <w:jc w:val="right"/>
              <w:rPr>
                <w:sz w:val="20"/>
              </w:rPr>
            </w:pPr>
            <w:r w:rsidRPr="00FE1E53">
              <w:rPr>
                <w:noProof/>
                <w:sz w:val="20"/>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FE1E53" w14:paraId="380FA3CD" w14:textId="77777777" w:rsidTr="00342A23">
        <w:trPr>
          <w:trHeight w:val="567"/>
          <w:jc w:val="center"/>
        </w:trPr>
        <w:tc>
          <w:tcPr>
            <w:tcW w:w="6940" w:type="dxa"/>
            <w:vMerge/>
            <w:tcBorders>
              <w:right w:val="single" w:sz="4" w:space="0" w:color="auto"/>
            </w:tcBorders>
          </w:tcPr>
          <w:p w14:paraId="39E5E4C1" w14:textId="77777777" w:rsidR="000A03B2" w:rsidRPr="00FE1E53" w:rsidRDefault="000A03B2" w:rsidP="00CD5FE2">
            <w:pPr>
              <w:tabs>
                <w:tab w:val="left" w:pos="-108"/>
              </w:tabs>
              <w:rPr>
                <w:sz w:val="20"/>
              </w:rPr>
            </w:pPr>
          </w:p>
        </w:tc>
        <w:tc>
          <w:tcPr>
            <w:tcW w:w="1842" w:type="dxa"/>
            <w:tcBorders>
              <w:left w:val="single" w:sz="4" w:space="0" w:color="auto"/>
              <w:bottom w:val="nil"/>
              <w:right w:val="single" w:sz="4" w:space="0" w:color="auto"/>
            </w:tcBorders>
          </w:tcPr>
          <w:p w14:paraId="43858A98" w14:textId="77777777" w:rsidR="000A03B2" w:rsidRPr="00FE1E53" w:rsidRDefault="000A03B2" w:rsidP="00CD5FE2">
            <w:pPr>
              <w:spacing w:line="140" w:lineRule="atLeast"/>
              <w:jc w:val="right"/>
              <w:rPr>
                <w:rFonts w:cs="Arial"/>
                <w:sz w:val="20"/>
              </w:rPr>
            </w:pPr>
            <w:r w:rsidRPr="00FE1E53">
              <w:rPr>
                <w:rFonts w:cs="Arial"/>
                <w:sz w:val="20"/>
              </w:rPr>
              <w:t>The Italian Association</w:t>
            </w:r>
          </w:p>
          <w:p w14:paraId="7522B1D2" w14:textId="77777777" w:rsidR="000A03B2" w:rsidRPr="00FE1E53" w:rsidRDefault="000A03B2" w:rsidP="00CD5FE2">
            <w:pPr>
              <w:spacing w:line="140" w:lineRule="atLeast"/>
              <w:jc w:val="right"/>
              <w:rPr>
                <w:rFonts w:cs="Arial"/>
                <w:sz w:val="20"/>
              </w:rPr>
            </w:pPr>
            <w:r w:rsidRPr="00FE1E53">
              <w:rPr>
                <w:rFonts w:cs="Arial"/>
                <w:sz w:val="20"/>
              </w:rPr>
              <w:t>of Chemical Engineering</w:t>
            </w:r>
          </w:p>
          <w:p w14:paraId="4F0CC5DE" w14:textId="47FDB2FC" w:rsidR="000A03B2" w:rsidRPr="00FE1E53" w:rsidRDefault="000D0268" w:rsidP="00CD5FE2">
            <w:pPr>
              <w:spacing w:line="140" w:lineRule="atLeast"/>
              <w:jc w:val="right"/>
              <w:rPr>
                <w:rFonts w:cs="Arial"/>
                <w:sz w:val="20"/>
              </w:rPr>
            </w:pPr>
            <w:r w:rsidRPr="00FE1E53">
              <w:rPr>
                <w:rFonts w:cs="Arial"/>
                <w:sz w:val="20"/>
              </w:rPr>
              <w:t>Online at www.cetjournal.it</w:t>
            </w:r>
          </w:p>
        </w:tc>
      </w:tr>
      <w:tr w:rsidR="000A03B2" w:rsidRPr="00FE1E53" w14:paraId="2D1B7169" w14:textId="77777777" w:rsidTr="00342A23">
        <w:trPr>
          <w:trHeight w:val="68"/>
          <w:jc w:val="center"/>
        </w:trPr>
        <w:tc>
          <w:tcPr>
            <w:tcW w:w="8782" w:type="dxa"/>
            <w:gridSpan w:val="2"/>
          </w:tcPr>
          <w:p w14:paraId="1D8DD3C9" w14:textId="174205F6" w:rsidR="00AA7D26" w:rsidRPr="00FE1E53" w:rsidRDefault="004A5E57" w:rsidP="00CB2614">
            <w:pPr>
              <w:ind w:left="-107"/>
              <w:outlineLvl w:val="2"/>
              <w:rPr>
                <w:rFonts w:ascii="Tahoma" w:hAnsi="Tahoma" w:cs="Tahoma"/>
                <w:color w:val="000000"/>
                <w:sz w:val="20"/>
                <w:shd w:val="clear" w:color="auto" w:fill="FFFFFF"/>
                <w:lang w:val="it-IT"/>
              </w:rPr>
            </w:pPr>
            <w:r w:rsidRPr="00FE1E53">
              <w:rPr>
                <w:rFonts w:ascii="Tahoma" w:hAnsi="Tahoma" w:cs="Tahoma"/>
                <w:iCs/>
                <w:color w:val="333333"/>
                <w:sz w:val="20"/>
                <w:lang w:val="it-IT" w:eastAsia="it-IT"/>
              </w:rPr>
              <w:t>Guest Editors:</w:t>
            </w:r>
            <w:r w:rsidRPr="00FE1E53">
              <w:rPr>
                <w:rFonts w:ascii="Tahoma" w:hAnsi="Tahoma" w:cs="Tahoma"/>
                <w:color w:val="000000"/>
                <w:sz w:val="20"/>
                <w:shd w:val="clear" w:color="auto" w:fill="FFFFFF"/>
                <w:lang w:val="it-IT"/>
              </w:rPr>
              <w:t xml:space="preserve"> </w:t>
            </w:r>
            <w:r w:rsidR="00CB2614" w:rsidRPr="00FE1E53">
              <w:rPr>
                <w:rFonts w:ascii="Tahoma" w:hAnsi="Tahoma" w:cs="Tahoma"/>
                <w:color w:val="000000"/>
                <w:sz w:val="20"/>
                <w:shd w:val="clear" w:color="auto" w:fill="FFFFFF"/>
                <w:lang w:val="it-IT"/>
              </w:rPr>
              <w:t>Flavio Manenti, Botir Usmonov, Alessandro Di Pretoro</w:t>
            </w:r>
          </w:p>
          <w:p w14:paraId="1B0F1814" w14:textId="710B7B96" w:rsidR="000A03B2" w:rsidRPr="00FE1E53" w:rsidRDefault="00AA7D26" w:rsidP="00AA7D26">
            <w:pPr>
              <w:tabs>
                <w:tab w:val="left" w:pos="-108"/>
              </w:tabs>
              <w:spacing w:line="140" w:lineRule="atLeast"/>
              <w:ind w:left="-107"/>
              <w:jc w:val="left"/>
              <w:rPr>
                <w:sz w:val="20"/>
              </w:rPr>
            </w:pPr>
            <w:r w:rsidRPr="00FE1E53">
              <w:rPr>
                <w:rFonts w:ascii="Tahoma" w:hAnsi="Tahoma" w:cs="Tahoma"/>
                <w:iCs/>
                <w:color w:val="333333"/>
                <w:sz w:val="20"/>
                <w:lang w:eastAsia="it-IT"/>
              </w:rPr>
              <w:t>Copyright © 202</w:t>
            </w:r>
            <w:r w:rsidR="00005884" w:rsidRPr="00FE1E53">
              <w:rPr>
                <w:rFonts w:ascii="Tahoma" w:hAnsi="Tahoma" w:cs="Tahoma"/>
                <w:iCs/>
                <w:color w:val="333333"/>
                <w:sz w:val="20"/>
                <w:lang w:eastAsia="it-IT"/>
              </w:rPr>
              <w:t>6</w:t>
            </w:r>
            <w:r w:rsidRPr="00FE1E53">
              <w:rPr>
                <w:rFonts w:ascii="Tahoma" w:hAnsi="Tahoma" w:cs="Tahoma"/>
                <w:iCs/>
                <w:color w:val="333333"/>
                <w:sz w:val="20"/>
                <w:lang w:eastAsia="it-IT"/>
              </w:rPr>
              <w:t>, AIDIC Servizi S.r.l.</w:t>
            </w:r>
            <w:r w:rsidRPr="00FE1E53">
              <w:rPr>
                <w:rFonts w:ascii="Tahoma" w:hAnsi="Tahoma" w:cs="Tahoma"/>
                <w:iCs/>
                <w:color w:val="333333"/>
                <w:sz w:val="20"/>
                <w:lang w:eastAsia="it-IT"/>
              </w:rPr>
              <w:br/>
            </w:r>
            <w:r w:rsidRPr="00FE1E53">
              <w:rPr>
                <w:rFonts w:ascii="Tahoma" w:hAnsi="Tahoma" w:cs="Tahoma"/>
                <w:b/>
                <w:iCs/>
                <w:color w:val="000000"/>
                <w:sz w:val="20"/>
                <w:lang w:eastAsia="it-IT"/>
              </w:rPr>
              <w:t>ISBN</w:t>
            </w:r>
            <w:r w:rsidRPr="00FE1E53">
              <w:rPr>
                <w:rFonts w:ascii="Tahoma" w:hAnsi="Tahoma" w:cs="Tahoma"/>
                <w:iCs/>
                <w:color w:val="000000"/>
                <w:sz w:val="20"/>
                <w:lang w:eastAsia="it-IT"/>
              </w:rPr>
              <w:t xml:space="preserve"> </w:t>
            </w:r>
            <w:r w:rsidR="00D2582C" w:rsidRPr="00FE1E53">
              <w:rPr>
                <w:rFonts w:ascii="Tahoma" w:hAnsi="Tahoma" w:cs="Tahoma"/>
                <w:sz w:val="20"/>
              </w:rPr>
              <w:t>979-12-81206-</w:t>
            </w:r>
            <w:r w:rsidR="00005884" w:rsidRPr="00FE1E53">
              <w:rPr>
                <w:rFonts w:ascii="Tahoma" w:hAnsi="Tahoma" w:cs="Tahoma"/>
                <w:sz w:val="20"/>
              </w:rPr>
              <w:t>xx</w:t>
            </w:r>
            <w:r w:rsidR="009041F8" w:rsidRPr="00FE1E53">
              <w:rPr>
                <w:rFonts w:ascii="Tahoma" w:hAnsi="Tahoma" w:cs="Tahoma"/>
                <w:sz w:val="20"/>
              </w:rPr>
              <w:t>-</w:t>
            </w:r>
            <w:r w:rsidR="00005884" w:rsidRPr="00FE1E53">
              <w:rPr>
                <w:rFonts w:ascii="Tahoma" w:hAnsi="Tahoma" w:cs="Tahoma"/>
                <w:sz w:val="20"/>
              </w:rPr>
              <w:t>x</w:t>
            </w:r>
            <w:r w:rsidRPr="00FE1E53">
              <w:rPr>
                <w:rFonts w:ascii="Tahoma" w:hAnsi="Tahoma" w:cs="Tahoma"/>
                <w:iCs/>
                <w:color w:val="333333"/>
                <w:sz w:val="20"/>
                <w:lang w:eastAsia="it-IT"/>
              </w:rPr>
              <w:t xml:space="preserve">; </w:t>
            </w:r>
            <w:r w:rsidRPr="00FE1E53">
              <w:rPr>
                <w:rFonts w:ascii="Tahoma" w:hAnsi="Tahoma" w:cs="Tahoma"/>
                <w:b/>
                <w:iCs/>
                <w:color w:val="333333"/>
                <w:sz w:val="20"/>
                <w:lang w:eastAsia="it-IT"/>
              </w:rPr>
              <w:t>ISSN</w:t>
            </w:r>
            <w:r w:rsidRPr="00FE1E53">
              <w:rPr>
                <w:rFonts w:ascii="Tahoma" w:hAnsi="Tahoma" w:cs="Tahoma"/>
                <w:iCs/>
                <w:color w:val="333333"/>
                <w:sz w:val="20"/>
                <w:lang w:eastAsia="it-IT"/>
              </w:rPr>
              <w:t xml:space="preserve"> 2283-9216</w:t>
            </w:r>
          </w:p>
        </w:tc>
      </w:tr>
    </w:tbl>
    <w:bookmarkEnd w:id="0"/>
    <w:p w14:paraId="5192BDE0" w14:textId="77777777" w:rsidR="00342A23" w:rsidRPr="00FE1E53" w:rsidRDefault="00342A23" w:rsidP="00342A23">
      <w:pPr>
        <w:pStyle w:val="Title"/>
        <w:rPr>
          <w:rFonts w:ascii="Arial" w:hAnsi="Arial" w:cs="Arial"/>
          <w:sz w:val="20"/>
          <w:szCs w:val="20"/>
        </w:rPr>
      </w:pPr>
      <w:r w:rsidRPr="00FE1E53">
        <w:rPr>
          <w:rFonts w:ascii="Arial" w:hAnsi="Arial" w:cs="Arial"/>
          <w:sz w:val="20"/>
          <w:szCs w:val="20"/>
        </w:rPr>
        <w:t>EDUCATION AS A FACTOR OF REGIONALIZATION IN CENTRAL ASIA: INTEGRATION AND EDUCATIONAL DIPLOMACY</w:t>
      </w:r>
    </w:p>
    <w:p w14:paraId="577C1D24" w14:textId="29B83578" w:rsidR="00342A23" w:rsidRPr="00FE1E53" w:rsidRDefault="00342A23" w:rsidP="00342A23">
      <w:pPr>
        <w:tabs>
          <w:tab w:val="clear" w:pos="7100"/>
        </w:tabs>
        <w:spacing w:line="240" w:lineRule="auto"/>
        <w:jc w:val="left"/>
        <w:rPr>
          <w:rFonts w:ascii="Times New Roman" w:hAnsi="Times New Roman"/>
          <w:sz w:val="20"/>
          <w:lang w:val="en-US" w:eastAsia="ru-RU"/>
        </w:rPr>
      </w:pPr>
      <w:r w:rsidRPr="00FE1E53">
        <w:rPr>
          <w:sz w:val="20"/>
          <w:lang w:val="en-US"/>
        </w:rPr>
        <w:t>Sadulla O.Otamuratov</w:t>
      </w:r>
      <w:r w:rsidRPr="00FE1E53">
        <w:rPr>
          <w:sz w:val="20"/>
          <w:vertAlign w:val="superscript"/>
          <w:lang w:val="en-US"/>
        </w:rPr>
        <w:t>a</w:t>
      </w:r>
      <w:r w:rsidRPr="00FE1E53">
        <w:rPr>
          <w:sz w:val="20"/>
          <w:lang w:val="en-US"/>
        </w:rPr>
        <w:t xml:space="preserve">, </w:t>
      </w:r>
      <w:r w:rsidR="003E3330" w:rsidRPr="003E3330">
        <w:rPr>
          <w:sz w:val="20"/>
          <w:lang w:val="en-US"/>
        </w:rPr>
        <w:t>Oybek O. Sirojov</w:t>
      </w:r>
      <w:r w:rsidR="003E3330" w:rsidRPr="003E3330">
        <w:rPr>
          <w:sz w:val="20"/>
          <w:vertAlign w:val="superscript"/>
          <w:lang w:val="en-US"/>
        </w:rPr>
        <w:t>b</w:t>
      </w:r>
      <w:r w:rsidR="003E3330">
        <w:rPr>
          <w:sz w:val="20"/>
          <w:lang w:val="en-US"/>
        </w:rPr>
        <w:t xml:space="preserve">, </w:t>
      </w:r>
      <w:r w:rsidRPr="00FE1E53">
        <w:rPr>
          <w:sz w:val="20"/>
          <w:lang w:val="en-US"/>
        </w:rPr>
        <w:t>Hakimbek O. Yorqulov</w:t>
      </w:r>
      <w:r w:rsidR="003E3330">
        <w:rPr>
          <w:sz w:val="20"/>
          <w:vertAlign w:val="superscript"/>
          <w:lang w:val="en-US"/>
        </w:rPr>
        <w:t>c</w:t>
      </w:r>
      <w:r w:rsidRPr="00FE1E53">
        <w:rPr>
          <w:sz w:val="20"/>
          <w:lang w:val="en-US"/>
        </w:rPr>
        <w:t xml:space="preserve">, </w:t>
      </w:r>
      <w:r w:rsidRPr="00FE1E53">
        <w:rPr>
          <w:sz w:val="20"/>
          <w:lang w:val="uz-Latn-UZ"/>
        </w:rPr>
        <w:t>Qahramon I. Ataqulov</w:t>
      </w:r>
      <w:r w:rsidR="003E3330">
        <w:rPr>
          <w:sz w:val="20"/>
          <w:vertAlign w:val="superscript"/>
          <w:lang w:val="uz-Latn-UZ"/>
        </w:rPr>
        <w:t>d</w:t>
      </w:r>
      <w:r w:rsidRPr="00FE1E53">
        <w:rPr>
          <w:sz w:val="20"/>
          <w:lang w:val="uz-Latn-UZ"/>
        </w:rPr>
        <w:t xml:space="preserve">*, </w:t>
      </w:r>
      <w:r w:rsidRPr="00FE1E53">
        <w:rPr>
          <w:sz w:val="20"/>
          <w:lang w:val="uz-Latn-UZ"/>
        </w:rPr>
        <w:t>Nasriddinova O. Tangriyevna</w:t>
      </w:r>
      <w:r w:rsidR="003E3330">
        <w:rPr>
          <w:sz w:val="20"/>
          <w:vertAlign w:val="superscript"/>
          <w:lang w:val="uz-Latn-UZ"/>
        </w:rPr>
        <w:t>e</w:t>
      </w:r>
      <w:r w:rsidRPr="00FE1E53">
        <w:rPr>
          <w:sz w:val="20"/>
          <w:lang w:val="uz-Latn-UZ"/>
        </w:rPr>
        <w:t xml:space="preserve">, </w:t>
      </w:r>
      <w:r w:rsidRPr="00FE1E53">
        <w:rPr>
          <w:sz w:val="20"/>
          <w:lang w:val="en-US"/>
        </w:rPr>
        <w:t>Xaldibekova F.To`ychiyevna</w:t>
      </w:r>
      <w:r w:rsidR="003E3330">
        <w:rPr>
          <w:sz w:val="20"/>
          <w:vertAlign w:val="superscript"/>
          <w:lang w:val="en-US"/>
        </w:rPr>
        <w:t>f</w:t>
      </w:r>
      <w:r w:rsidRPr="00FE1E53">
        <w:rPr>
          <w:sz w:val="20"/>
          <w:lang w:val="en-US"/>
        </w:rPr>
        <w:t xml:space="preserve">, </w:t>
      </w:r>
      <w:r w:rsidRPr="00FE1E53">
        <w:rPr>
          <w:rStyle w:val="CETAuthorsCarattere"/>
          <w:sz w:val="20"/>
          <w:lang w:val="en-US" w:eastAsia="ru-RU"/>
        </w:rPr>
        <w:t>Kholmatov B</w:t>
      </w:r>
      <w:r w:rsidRPr="00FE1E53">
        <w:rPr>
          <w:rStyle w:val="CETAuthorsCarattere"/>
          <w:sz w:val="20"/>
        </w:rPr>
        <w:t>.</w:t>
      </w:r>
      <w:r w:rsidRPr="00FE1E53">
        <w:rPr>
          <w:rStyle w:val="CETAuthorsCarattere"/>
          <w:sz w:val="20"/>
          <w:lang w:val="en-US" w:eastAsia="ru-RU"/>
        </w:rPr>
        <w:t xml:space="preserve"> Kholmuradovich</w:t>
      </w:r>
      <w:r w:rsidR="003E3330">
        <w:rPr>
          <w:sz w:val="20"/>
          <w:lang w:val="en-US"/>
        </w:rPr>
        <w:t>,</w:t>
      </w:r>
      <w:r w:rsidRPr="00FE1E53">
        <w:rPr>
          <w:sz w:val="20"/>
          <w:lang w:val="en-US"/>
        </w:rPr>
        <w:t xml:space="preserve"> </w:t>
      </w:r>
      <w:r w:rsidR="005B297F" w:rsidRPr="00FE1E53">
        <w:rPr>
          <w:sz w:val="20"/>
          <w:lang w:val="en-US"/>
        </w:rPr>
        <w:t>No`monkhon I.Meliyev</w:t>
      </w:r>
      <w:r w:rsidR="003E3330">
        <w:rPr>
          <w:sz w:val="20"/>
          <w:lang w:val="en-US"/>
        </w:rPr>
        <w:t>.</w:t>
      </w:r>
    </w:p>
    <w:p w14:paraId="27109CD8" w14:textId="77777777" w:rsidR="005B297F" w:rsidRPr="00FE1E53" w:rsidRDefault="005B297F" w:rsidP="005B297F">
      <w:pPr>
        <w:pStyle w:val="CETAddress"/>
        <w:rPr>
          <w:sz w:val="20"/>
          <w:lang w:val="en-US"/>
        </w:rPr>
      </w:pPr>
      <w:r w:rsidRPr="00FE1E53">
        <w:rPr>
          <w:sz w:val="20"/>
          <w:lang w:val="en-US"/>
        </w:rPr>
        <w:t xml:space="preserve">Tashkent institute of chemical technology, Department of Socio-political sciences, Tashkent, Uzbekistan </w:t>
      </w:r>
    </w:p>
    <w:p w14:paraId="46EA4AA9" w14:textId="461CAF6D" w:rsidR="005B297F" w:rsidRPr="00FE1E53" w:rsidRDefault="0015541D" w:rsidP="005B297F">
      <w:pPr>
        <w:pStyle w:val="CETAddress"/>
        <w:rPr>
          <w:i/>
          <w:iCs/>
          <w:sz w:val="20"/>
          <w:lang w:val="en-US"/>
        </w:rPr>
      </w:pPr>
      <w:r>
        <w:rPr>
          <w:sz w:val="20"/>
          <w:vertAlign w:val="superscript"/>
          <w:lang w:val="en-US"/>
        </w:rPr>
        <w:t>d</w:t>
      </w:r>
      <w:bookmarkStart w:id="1" w:name="_GoBack"/>
      <w:bookmarkEnd w:id="1"/>
      <w:r w:rsidR="005B297F" w:rsidRPr="00FE1E53">
        <w:rPr>
          <w:sz w:val="20"/>
          <w:vertAlign w:val="superscript"/>
          <w:lang w:val="en-US"/>
        </w:rPr>
        <w:t xml:space="preserve"> </w:t>
      </w:r>
      <w:r w:rsidR="005B297F" w:rsidRPr="00FE1E53">
        <w:rPr>
          <w:sz w:val="20"/>
          <w:lang w:val="en-US"/>
        </w:rPr>
        <w:t xml:space="preserve">E-mail: </w:t>
      </w:r>
      <w:hyperlink r:id="rId10" w:history="1">
        <w:r w:rsidR="005B297F" w:rsidRPr="00FE1E53">
          <w:rPr>
            <w:rStyle w:val="58"/>
            <w:sz w:val="20"/>
          </w:rPr>
          <w:t>ataqulovqahramon@gmail.com</w:t>
        </w:r>
      </w:hyperlink>
      <w:r w:rsidR="005B297F" w:rsidRPr="00FE1E53">
        <w:rPr>
          <w:i/>
          <w:iCs/>
          <w:sz w:val="20"/>
          <w:lang w:val="en-US"/>
        </w:rPr>
        <w:t xml:space="preserve">  </w:t>
      </w:r>
    </w:p>
    <w:p w14:paraId="61FEC06F" w14:textId="77777777" w:rsidR="00342A23" w:rsidRPr="00FE1E53" w:rsidRDefault="00342A23" w:rsidP="00FE1E53">
      <w:pPr>
        <w:pStyle w:val="CETHeading1"/>
        <w:tabs>
          <w:tab w:val="clear" w:pos="360"/>
          <w:tab w:val="num" w:pos="709"/>
        </w:tabs>
        <w:ind w:firstLine="709"/>
      </w:pPr>
      <w:r w:rsidRPr="00FE1E53">
        <w:t>Abstract</w:t>
      </w:r>
    </w:p>
    <w:p w14:paraId="05294B27" w14:textId="6560795F" w:rsidR="00342A23" w:rsidRPr="00FE1E53" w:rsidRDefault="00342A23" w:rsidP="00FE1E53">
      <w:pPr>
        <w:pStyle w:val="CETBodytext"/>
        <w:ind w:firstLine="709"/>
        <w:rPr>
          <w:sz w:val="20"/>
        </w:rPr>
      </w:pPr>
      <w:r w:rsidRPr="00FE1E53">
        <w:rPr>
          <w:sz w:val="20"/>
        </w:rPr>
        <w:tab/>
        <w:t>This article analyzes the role of education as a strategic factor for regionalization in Central Asia. While existing research has focused more on the economic and political aspects of regional integration, the fact that these aspects are underpinned by the integration of science, knowledge, education, and high scientific potential has been overlooked. Therefore, using qualitative, quantitative, and empirical methodological approaches, criteria for assessing the impact of developing educational cooperation on regional collaboration and social stability have been analyzed, considering both positive and negative possibilities. This study emphasizes that education is an alternative mechanism for forming regional integrity. Furthermore, using a mixed-methods approach that combines qualitative policy analysis with quantitative indicators—such as student mobility, joint academic programs, and institutional collaboration—the study explores how education contributes to regional integration processes.</w:t>
      </w:r>
    </w:p>
    <w:p w14:paraId="1C34CF11" w14:textId="77777777" w:rsidR="00342A23" w:rsidRPr="00FE1E53" w:rsidRDefault="00342A23" w:rsidP="00FE1E53">
      <w:pPr>
        <w:pStyle w:val="CETBodytext"/>
        <w:ind w:firstLine="709"/>
        <w:rPr>
          <w:sz w:val="20"/>
        </w:rPr>
      </w:pPr>
      <w:r w:rsidRPr="00FE1E53">
        <w:rPr>
          <w:sz w:val="20"/>
        </w:rPr>
        <w:t>The results show that education strengthens regional connectivity through human capital development, institutional harmonization, and knowledge diplomacy. Despite persistent structural challenges, including policy discrepancies and resource constraints, education-based collaboration fosters trust, a shared identity, and long-term integration. The study contributes to the literature on promoting regional cooperation by conceptualizing education as a key variable in regionalization theory. It proposes a knowledge-based cooperation model for Central Asia.</w:t>
      </w:r>
    </w:p>
    <w:p w14:paraId="30F885FC" w14:textId="77777777" w:rsidR="00342A23" w:rsidRPr="00FE1E53" w:rsidRDefault="00342A23" w:rsidP="00FE1E53">
      <w:pPr>
        <w:pStyle w:val="CETBodytext"/>
        <w:ind w:firstLine="709"/>
        <w:rPr>
          <w:sz w:val="20"/>
        </w:rPr>
      </w:pPr>
      <w:r w:rsidRPr="00FE1E53">
        <w:rPr>
          <w:sz w:val="20"/>
        </w:rPr>
        <w:tab/>
        <w:t>This study does not take a cross-sectoral approach to addressing the various challenges in the region's countries. Therefore, future research should focus on conducting sectoral research and analysis, as well as assessing the potential of education to evaluate and prevent the negative aspects of anticipated risks for the region.</w:t>
      </w:r>
    </w:p>
    <w:p w14:paraId="4938E0F9" w14:textId="3AAD4EF2" w:rsidR="00342A23" w:rsidRPr="00FE1E53" w:rsidRDefault="00342A23" w:rsidP="00FE1E53">
      <w:pPr>
        <w:pStyle w:val="CETheadingx"/>
      </w:pPr>
      <w:r w:rsidRPr="00FE1E53">
        <w:t>Introduction.</w:t>
      </w:r>
    </w:p>
    <w:p w14:paraId="261B94CA" w14:textId="77777777" w:rsidR="00342A23" w:rsidRPr="00FE1E53" w:rsidRDefault="00342A23" w:rsidP="00FE1E53">
      <w:pPr>
        <w:pStyle w:val="CETBodytext"/>
        <w:ind w:firstLine="709"/>
        <w:rPr>
          <w:sz w:val="20"/>
        </w:rPr>
      </w:pPr>
      <w:r w:rsidRPr="00FE1E53">
        <w:rPr>
          <w:sz w:val="20"/>
        </w:rPr>
        <w:t>The countries of Central Asia, historically shaped by common cultural, linguistic, and economic ties, are currently reconsidering the foundations of their cooperation in response to modern global threats. This issue should be viewed, in the words of the President of Uzbekistan, Sh.M. Mirziyoyev, as a matter where "regional cooperation is a recognized strategic necessity" (Mirziyoyev Sh.M. 2025). Traditional forms of regional cooperation prioritize economic and political collaboration. In recent times, however, cooperation in the field of education has come to be seen as a modern driver of regionalization.</w:t>
      </w:r>
    </w:p>
    <w:p w14:paraId="0B27C52E" w14:textId="77777777" w:rsidR="00342A23" w:rsidRPr="00FE1E53" w:rsidRDefault="00342A23" w:rsidP="004272C9">
      <w:pPr>
        <w:pStyle w:val="CETBodytext"/>
        <w:rPr>
          <w:sz w:val="20"/>
        </w:rPr>
      </w:pPr>
      <w:r w:rsidRPr="00FE1E53">
        <w:rPr>
          <w:sz w:val="20"/>
        </w:rPr>
        <w:t>Education not only develops human capital but also facilitates cross-border knowledge exchange, fostering mutual understanding and shaping a "regional identity." Therefore, education can be understood as a functional component of regional cooperation.</w:t>
      </w:r>
    </w:p>
    <w:p w14:paraId="0FC4273E" w14:textId="77777777" w:rsidR="00342A23" w:rsidRPr="00FE1E53" w:rsidRDefault="00342A23" w:rsidP="00FE1E53">
      <w:pPr>
        <w:pStyle w:val="CETBodytext"/>
        <w:ind w:firstLine="709"/>
        <w:rPr>
          <w:sz w:val="20"/>
        </w:rPr>
      </w:pPr>
      <w:r w:rsidRPr="00FE1E53">
        <w:rPr>
          <w:sz w:val="20"/>
        </w:rPr>
        <w:lastRenderedPageBreak/>
        <w:t>The regionalization of education often sparks debate regarding the preservation of national mentality, statehood, and identity within a region. However, an analysis of literature on fostering common regional interests and a shared regional identity reveals that cooperation in education is highly significant for both social life and the advancement of political and economic processes. Furthermore, developing educational cooperation makes it possible to enhance the region's scientific and technological potential, advance scientific collaboration, strengthen economic integration, and find solutions to existing climate change and environmental problems. By treating education as a central analytical variable, this study contributes to a broader theoretical and empirical understanding of regional cooperation. The research also offers several insights into how knowledge-based cooperation can enhance regional stability and development.</w:t>
      </w:r>
    </w:p>
    <w:p w14:paraId="73222B78" w14:textId="77777777" w:rsidR="00342A23" w:rsidRPr="00FE1E53" w:rsidRDefault="00342A23" w:rsidP="00FE1E53">
      <w:pPr>
        <w:pStyle w:val="CETheadingx"/>
      </w:pPr>
      <w:r w:rsidRPr="00FE1E53">
        <w:t>Literature Review.</w:t>
      </w:r>
    </w:p>
    <w:p w14:paraId="00EA9269" w14:textId="77777777" w:rsidR="00342A23" w:rsidRPr="00FE1E53" w:rsidRDefault="00342A23" w:rsidP="00FE1E53">
      <w:pPr>
        <w:pStyle w:val="CETBodytext"/>
        <w:ind w:firstLine="709"/>
        <w:rPr>
          <w:sz w:val="20"/>
        </w:rPr>
      </w:pPr>
      <w:r w:rsidRPr="00FE1E53">
        <w:rPr>
          <w:sz w:val="20"/>
        </w:rPr>
        <w:t xml:space="preserve">In an era of globalization, the pursuit of regional unity among less-developed countries contributes to their geopolitical, economic, and socio-cultural stability. Given the diverse approaches to regional cooperation and the fact that quality education is the foundation for development in any field, collaboration in education holds significant importance for peoples who share a common history, culture, and future aspirations. The consideration of education as a factor that serves to advance regional cooperation processes is being put forward in response to several problematic situations. Specifically, the region faces a shortage of qualified personnel to address existing environmental and scientific-technological issues, as well as challenges in implementing modern infrastructure and digital technologies. As a solution, attracting personnel from developed countries does not fully resolve the issue. In our region, with a population exceeding 80 million, bringing in specialists from other countries has created a curious paradox at a time when providing employment is itself a major problem. We attribute this primarily to the underdevelopment of education in the region, with the majority of the population being specialists mainly in the service sector. Based on this, it becomes clear that strengthening cooperation in the field of education within the region is a necessity. </w:t>
      </w:r>
    </w:p>
    <w:p w14:paraId="41FF6457" w14:textId="77777777" w:rsidR="00342A23" w:rsidRPr="00FE1E53" w:rsidRDefault="00342A23" w:rsidP="00FE1E53">
      <w:pPr>
        <w:pStyle w:val="CETBodytext"/>
        <w:ind w:firstLine="709"/>
        <w:rPr>
          <w:sz w:val="20"/>
        </w:rPr>
      </w:pPr>
      <w:r w:rsidRPr="00FE1E53">
        <w:rPr>
          <w:sz w:val="20"/>
        </w:rPr>
        <w:t>Reports from international organizations such as the World Bank (Ambasz D. Nikolaev D. 2023), UNESCO, and the OECD also present specific approaches, suggesting that in regionalization, education can elevate cooperation between states to a new level, increase the degree of integration, and create more opportunities for jointly solving common problems. (World Bank. 2018).</w:t>
      </w:r>
    </w:p>
    <w:p w14:paraId="7DB93F29" w14:textId="77777777" w:rsidR="00342A23" w:rsidRPr="00FE1E53" w:rsidRDefault="00342A23" w:rsidP="00FE1E53">
      <w:pPr>
        <w:pStyle w:val="CETBodytext"/>
        <w:ind w:firstLine="709"/>
        <w:rPr>
          <w:sz w:val="20"/>
        </w:rPr>
      </w:pPr>
      <w:r w:rsidRPr="00FE1E53">
        <w:rPr>
          <w:sz w:val="20"/>
        </w:rPr>
        <w:t>Many researchers emphasize the important role of education, especially higher education, in regional cooperation. Canadian scholar Jane Knight advances views on the "internationalization" of higher education and, through it, the achievement of socio-political stability. (Jane Knight. 2004). She focuses on cooperation at the regional level in higher education by studying the system of functional, organizational, and policy approaches (FOPA) to its regionalization.</w:t>
      </w:r>
    </w:p>
    <w:p w14:paraId="46B9003B" w14:textId="77777777" w:rsidR="00342A23" w:rsidRPr="00FE1E53" w:rsidRDefault="00342A23" w:rsidP="00FE1E53">
      <w:pPr>
        <w:pStyle w:val="CETBodytext"/>
        <w:ind w:firstLine="709"/>
        <w:rPr>
          <w:sz w:val="20"/>
        </w:rPr>
      </w:pPr>
      <w:r w:rsidRPr="00FE1E53">
        <w:rPr>
          <w:sz w:val="20"/>
        </w:rPr>
        <w:t xml:space="preserve">Researchers Meng-Hsuan Chou and Pauline Ravinet compare the political ideas of higher education regionalism in Europe and Southeast Asia, putting forward ideas about the impact of regionalization models on cooperation in the field of education and its development. (Jane Knight 2023) . The regional cooperation model—for example, the European regionalism experience in creating classical rules and norms—also demonstrates harmony within the higher education system. In Southeast Asian regionalism, the priority of views on achieving progress and development defines cooperation in the field of education. In particular, approaches to creating the most modern microtechnologies and communication tools determine the essence of cooperation in this sphere. </w:t>
      </w:r>
    </w:p>
    <w:p w14:paraId="424AA67C" w14:textId="77777777" w:rsidR="00342A23" w:rsidRPr="00FE1E53" w:rsidRDefault="00342A23" w:rsidP="00FE1E53">
      <w:pPr>
        <w:pStyle w:val="CETBodytext"/>
        <w:ind w:firstLine="709"/>
        <w:rPr>
          <w:sz w:val="20"/>
        </w:rPr>
      </w:pPr>
      <w:r w:rsidRPr="00FE1E53">
        <w:rPr>
          <w:sz w:val="20"/>
        </w:rPr>
        <w:t xml:space="preserve">According to Spanish scholar Maria Pilar Lorenzo, "along with globalization processes, higher education is also becoming universal, which serves as a basis for studying regionalization and enriching research in this area" (Lorenzo, M.P. 2022). In fact, this is also the main purpose of studying the role of higher education in developing regional cooperation. This is because the regionalization process does not promote a one-sided approach. Education plays a major role in creating both internal stability and international balance. By creating positive opportunities in people's lives, education plays an important role in defining the social status of an entire society and state. </w:t>
      </w:r>
    </w:p>
    <w:p w14:paraId="44E1AEB9" w14:textId="77777777" w:rsidR="00342A23" w:rsidRPr="00FE1E53" w:rsidRDefault="00342A23" w:rsidP="00FE1E53">
      <w:pPr>
        <w:pStyle w:val="CETBodytext"/>
        <w:ind w:firstLine="709"/>
        <w:rPr>
          <w:sz w:val="20"/>
        </w:rPr>
      </w:pPr>
      <w:r w:rsidRPr="00FE1E53">
        <w:rPr>
          <w:sz w:val="20"/>
        </w:rPr>
        <w:t xml:space="preserve">In the processes of regional cooperation, it is essential that these aspects align with the processes of globalization. This is because, in the modern era, a high level of scientific and technological potential places a demand for greater efficiency on human labor and capacity. Quality education, training, and skills </w:t>
      </w:r>
      <w:r w:rsidRPr="00FE1E53">
        <w:rPr>
          <w:sz w:val="20"/>
        </w:rPr>
        <w:lastRenderedPageBreak/>
        <w:t xml:space="preserve">can be interpreted as a source of economic efficiency and state stability (Gary S. Becker, 1975). According to a report by the World Bank's Human Capital Project, more than 60% of children born today will lose more than half of their potential due to a lack of opportunity for a full education and healthy development (World Bank, 2019). (World Bank. </w:t>
      </w:r>
    </w:p>
    <w:p w14:paraId="20F8DA95" w14:textId="77777777" w:rsidR="00342A23" w:rsidRPr="00FE1E53" w:rsidRDefault="00342A23" w:rsidP="00FE1E53">
      <w:pPr>
        <w:pStyle w:val="CETheadingx"/>
      </w:pPr>
      <w:r w:rsidRPr="00FE1E53">
        <w:t>Methodology</w:t>
      </w:r>
      <w:r w:rsidRPr="00FE1E53">
        <w:tab/>
      </w:r>
    </w:p>
    <w:p w14:paraId="05E644C6" w14:textId="77777777" w:rsidR="00342A23" w:rsidRPr="00FE1E53" w:rsidRDefault="00342A23" w:rsidP="00FE1E53">
      <w:pPr>
        <w:pStyle w:val="CETBodytext"/>
        <w:ind w:firstLine="709"/>
        <w:rPr>
          <w:sz w:val="20"/>
        </w:rPr>
      </w:pPr>
      <w:r w:rsidRPr="00FE1E53">
        <w:rPr>
          <w:sz w:val="20"/>
        </w:rPr>
        <w:t>This research, using the Central Asian region as a case study, aims to examine the impact of the education sector on regionalization processes and the relationship between human capital and the development of education diplomacy. It seeks to answer questions such as: To what extent does institutional and legal convergence in the education sector accelerate the regionalization of Central Asia? Can student and teacher mobility indicators show which areas of educational cooperation between the countries of the region are the most intensive? And how do the instruments of education diplomacy affect human capital indicators?</w:t>
      </w:r>
    </w:p>
    <w:p w14:paraId="6DE90DB5" w14:textId="77777777" w:rsidR="00342A23" w:rsidRPr="00FE1E53" w:rsidRDefault="00342A23" w:rsidP="00FE1E53">
      <w:pPr>
        <w:pStyle w:val="CETBodytext"/>
        <w:ind w:firstLine="709"/>
        <w:rPr>
          <w:sz w:val="20"/>
        </w:rPr>
      </w:pPr>
      <w:r w:rsidRPr="00FE1E53">
        <w:rPr>
          <w:sz w:val="20"/>
        </w:rPr>
        <w:t>The research is designed using a mixed-methods approach, which involves analyzing quantitative data (student exchange statistics, academic mobility indicators), while the findings are further explained and elaborated through qualitative analysis—specifically, a content analysis of official documents, institutional agreements, and policy documents. A comparative analysis among the countries in the region is conducted based on the following indicators: the volume of academic mobility and student exchange, the rate of accession to international education conventions, the degree to which national education legislation is harmonized with regional standards, and human capital index scores.</w:t>
      </w:r>
    </w:p>
    <w:p w14:paraId="20BFD849" w14:textId="77777777" w:rsidR="00342A23" w:rsidRPr="00FE1E53" w:rsidRDefault="00342A23" w:rsidP="00FE1E53">
      <w:pPr>
        <w:pStyle w:val="CETBodytext"/>
        <w:ind w:firstLine="709"/>
        <w:rPr>
          <w:sz w:val="20"/>
        </w:rPr>
      </w:pPr>
      <w:r w:rsidRPr="00FE1E53">
        <w:rPr>
          <w:sz w:val="20"/>
        </w:rPr>
        <w:t>Primary sources for the research include Appendix 4 of Resolution No. 578 of the Cabinet of Ministers of the Republic of Uzbekistan (Regulations on Academic Mobility), official information regarding Kazakhstan's ratification of the UNESCO Tokyo Convention, reports from the World Bank's Human Capital Project, the OECD's "Education at a Glance 2023" report, materials from the UNESCO IITE 2024 Regional Policy Dialogue, and official statistics from the Ministry of Higher Education, Science and Innovations of the Republic of Uzbekistan.</w:t>
      </w:r>
    </w:p>
    <w:p w14:paraId="7AD921FC" w14:textId="77777777" w:rsidR="00342A23" w:rsidRPr="00FE1E53" w:rsidRDefault="00342A23" w:rsidP="00FE1E53">
      <w:pPr>
        <w:pStyle w:val="CETBodytext"/>
        <w:ind w:firstLine="709"/>
        <w:rPr>
          <w:sz w:val="20"/>
        </w:rPr>
      </w:pPr>
      <w:r w:rsidRPr="00FE1E53">
        <w:rPr>
          <w:sz w:val="20"/>
        </w:rPr>
        <w:t>Statistics on student academic mobility and citizens who traveled abroad for educational purposes in 2024-2025 were analyzed using descriptive statistics.</w:t>
      </w:r>
    </w:p>
    <w:p w14:paraId="76F9CCF6" w14:textId="77777777" w:rsidR="00342A23" w:rsidRPr="00FE1E53" w:rsidRDefault="00342A23" w:rsidP="004272C9">
      <w:pPr>
        <w:pStyle w:val="CETBodytext"/>
        <w:rPr>
          <w:sz w:val="20"/>
        </w:rPr>
      </w:pPr>
      <w:r w:rsidRPr="00FE1E53">
        <w:rPr>
          <w:sz w:val="20"/>
        </w:rPr>
        <w:t>The theoretical and conceptual foundation of the research is comprised of the theory of regional cooperation and the concept of educational diplomacy. These frameworks are used to explain the impact of cooperation mechanisms in the field of education on regionalization.</w:t>
      </w:r>
    </w:p>
    <w:p w14:paraId="6838E27D" w14:textId="77777777" w:rsidR="00342A23" w:rsidRPr="00FE1E53" w:rsidRDefault="00342A23" w:rsidP="00FE1E53">
      <w:pPr>
        <w:pStyle w:val="CETBodytext"/>
        <w:ind w:firstLine="709"/>
        <w:rPr>
          <w:sz w:val="20"/>
        </w:rPr>
      </w:pPr>
      <w:r w:rsidRPr="00FE1E53">
        <w:rPr>
          <w:sz w:val="20"/>
        </w:rPr>
        <w:t>Research Limitations. The analysis relies primarily on statistical and institutional data from open sources. The limited availability of official statistics on Turkmenistan may lead to inconsistencies in certain aspects of the comparative analysis. Additionally, the two-year time frame reflects the current situation rather than long-term trends; therefore, the conclusions are preliminary in nature.</w:t>
      </w:r>
    </w:p>
    <w:p w14:paraId="6955CF9E" w14:textId="77777777" w:rsidR="00342A23" w:rsidRPr="00FE1E53" w:rsidRDefault="00342A23" w:rsidP="00FE1E53">
      <w:pPr>
        <w:pStyle w:val="CETheadingx"/>
      </w:pPr>
      <w:r w:rsidRPr="00FE1E53">
        <w:t>Discussion.</w:t>
      </w:r>
    </w:p>
    <w:p w14:paraId="1C0AC40E" w14:textId="77777777" w:rsidR="00342A23" w:rsidRPr="00FE1E53" w:rsidRDefault="00342A23" w:rsidP="00FE1E53">
      <w:pPr>
        <w:pStyle w:val="CETBodytext"/>
        <w:ind w:firstLine="709"/>
        <w:rPr>
          <w:sz w:val="20"/>
        </w:rPr>
      </w:pPr>
      <w:r w:rsidRPr="00FE1E53">
        <w:rPr>
          <w:sz w:val="20"/>
        </w:rPr>
        <w:t>Academic Mobility and Regional Integration. In the era of globalization, digital transformation, and international educational integration, the education system is facing new opportunities and demands. This is evident in the rise of academic mobility and the adaptation of universities to global education.  Academic mobility programs are crucial for developing regional cooperation. Academic mobility is defined as students from one higher education institution traveling to another, either domestically or abroad, to study for a specific period.  Academic mobility programs are crucial for developing regional cooperation. In Central Asia, student academic exchange firstly contributes to the overall economic development of the region, and secondly, it paves the way for cultural and scientific cooperation and fosters mutual understanding.</w:t>
      </w:r>
    </w:p>
    <w:p w14:paraId="641016E3" w14:textId="77777777" w:rsidR="00342A23" w:rsidRPr="00FE1E53" w:rsidRDefault="00342A23" w:rsidP="00FE1E53">
      <w:pPr>
        <w:pStyle w:val="CETBodytext"/>
        <w:ind w:firstLine="709"/>
        <w:rPr>
          <w:sz w:val="20"/>
        </w:rPr>
      </w:pPr>
      <w:r w:rsidRPr="00FE1E53">
        <w:rPr>
          <w:sz w:val="20"/>
        </w:rPr>
        <w:t xml:space="preserve">The role of the education sector in Central Asia's regionalization process has been undergoing a qualitative change in recent years. While cooperation previously took place at the level of bilateral agreements and individual projects, it is now transitioning to a stage of institutional and legal conventions. A comparative analysis across the five countries reveals that the regionalization process is unfolding unevenly. Kazakhstan is actively positioning itself as a regional education hub. This is evident not only in the speed of its accession to international conventions but also in the depth of its institutional cooperation with UNESCO. Uzbekistan, in turn, is striving to strengthen cooperation through practical projects, using </w:t>
      </w:r>
      <w:r w:rsidRPr="00FE1E53">
        <w:rPr>
          <w:sz w:val="20"/>
        </w:rPr>
        <w:lastRenderedPageBreak/>
        <w:t>documents such as the Academic Mobility Charter, by adapting its domestic regulatory framework to international standards.</w:t>
      </w:r>
    </w:p>
    <w:p w14:paraId="584AFF72" w14:textId="77777777" w:rsidR="00342A23" w:rsidRPr="00FE1E53" w:rsidRDefault="00342A23" w:rsidP="00FE1E53">
      <w:pPr>
        <w:pStyle w:val="CETBodytext"/>
        <w:ind w:firstLine="426"/>
        <w:rPr>
          <w:sz w:val="20"/>
        </w:rPr>
      </w:pPr>
      <w:r w:rsidRPr="00FE1E53">
        <w:rPr>
          <w:sz w:val="20"/>
        </w:rPr>
        <w:t>In particular, the "Summer School – 2026" project, themed "Educational Tourism – New Knowledge, New Experience," held in June-July 2026 at the Mirzo Ulugbek National University of Uzbekistan, is worthy of attention. Within the framework of the summer school, students and young researchers from Kazakhstan, Kyrgyzstan, and Tajikistan are not only actively participating in seminars and masterclasses but are also becoming closely acquainted with our country's rich historical and cultural heritage, national values, and modern educational environment. This project serves to further develop international academic cooperation, facilitate the exchange of experience, strengthen new friendships, and widely promote educational tourism, thereby contributing to the development of regional cooperation.</w:t>
      </w:r>
    </w:p>
    <w:p w14:paraId="5036915A" w14:textId="77777777" w:rsidR="00342A23" w:rsidRPr="00FE1E53" w:rsidRDefault="00342A23" w:rsidP="004272C9">
      <w:pPr>
        <w:pStyle w:val="CETTabletitle"/>
        <w:jc w:val="center"/>
        <w:rPr>
          <w:sz w:val="20"/>
          <w:lang w:val="en-US"/>
        </w:rPr>
      </w:pPr>
      <w:r w:rsidRPr="00FE1E53">
        <w:rPr>
          <w:sz w:val="20"/>
          <w:lang w:val="en-US"/>
        </w:rPr>
        <w:t>Existing statistical indicators on student academic mobility among Central Asian countries</w:t>
      </w:r>
    </w:p>
    <w:tbl>
      <w:tblPr>
        <w:tblStyle w:val="afffb"/>
        <w:tblW w:w="10129" w:type="dxa"/>
        <w:jc w:val="center"/>
        <w:tblLook w:val="04A0" w:firstRow="1" w:lastRow="0" w:firstColumn="1" w:lastColumn="0" w:noHBand="0" w:noVBand="1"/>
      </w:tblPr>
      <w:tblGrid>
        <w:gridCol w:w="3256"/>
        <w:gridCol w:w="3260"/>
        <w:gridCol w:w="1276"/>
        <w:gridCol w:w="2337"/>
      </w:tblGrid>
      <w:tr w:rsidR="00342A23" w:rsidRPr="00FE1E53" w14:paraId="37ABF461" w14:textId="77777777" w:rsidTr="000E090E">
        <w:trPr>
          <w:jc w:val="center"/>
        </w:trPr>
        <w:tc>
          <w:tcPr>
            <w:tcW w:w="3256" w:type="dxa"/>
            <w:vAlign w:val="center"/>
          </w:tcPr>
          <w:p w14:paraId="58731AD6" w14:textId="77777777" w:rsidR="00342A23" w:rsidRPr="00FE1E53" w:rsidRDefault="00342A23" w:rsidP="00FE1E53">
            <w:pPr>
              <w:pStyle w:val="CETCaption"/>
              <w:rPr>
                <w:sz w:val="20"/>
                <w:lang w:val="en-US"/>
              </w:rPr>
            </w:pPr>
            <w:r w:rsidRPr="00FE1E53">
              <w:rPr>
                <w:sz w:val="20"/>
                <w:lang w:val="en-US"/>
              </w:rPr>
              <w:t>Indicator</w:t>
            </w:r>
          </w:p>
        </w:tc>
        <w:tc>
          <w:tcPr>
            <w:tcW w:w="3260" w:type="dxa"/>
            <w:vAlign w:val="center"/>
          </w:tcPr>
          <w:p w14:paraId="52D96838" w14:textId="77777777" w:rsidR="00342A23" w:rsidRPr="00FE1E53" w:rsidRDefault="00342A23" w:rsidP="00FE1E53">
            <w:pPr>
              <w:pStyle w:val="CETCaption"/>
              <w:rPr>
                <w:sz w:val="20"/>
                <w:lang w:val="en-US"/>
              </w:rPr>
            </w:pPr>
            <w:r w:rsidRPr="00FE1E53">
              <w:rPr>
                <w:sz w:val="20"/>
                <w:lang w:val="en-US"/>
              </w:rPr>
              <w:t>Value</w:t>
            </w:r>
          </w:p>
        </w:tc>
        <w:tc>
          <w:tcPr>
            <w:tcW w:w="1276" w:type="dxa"/>
            <w:vAlign w:val="center"/>
          </w:tcPr>
          <w:p w14:paraId="79801C6F" w14:textId="77777777" w:rsidR="00342A23" w:rsidRPr="00FE1E53" w:rsidRDefault="00342A23" w:rsidP="00FE1E53">
            <w:pPr>
              <w:pStyle w:val="CETCaption"/>
              <w:rPr>
                <w:sz w:val="20"/>
                <w:lang w:val="en-US"/>
              </w:rPr>
            </w:pPr>
            <w:r w:rsidRPr="00FE1E53">
              <w:rPr>
                <w:sz w:val="20"/>
                <w:lang w:val="en-US"/>
              </w:rPr>
              <w:t>Period</w:t>
            </w:r>
          </w:p>
        </w:tc>
        <w:tc>
          <w:tcPr>
            <w:tcW w:w="2337" w:type="dxa"/>
            <w:vAlign w:val="center"/>
          </w:tcPr>
          <w:p w14:paraId="42CFC456" w14:textId="77777777" w:rsidR="00342A23" w:rsidRPr="00FE1E53" w:rsidRDefault="00342A23" w:rsidP="00FE1E53">
            <w:pPr>
              <w:pStyle w:val="CETCaption"/>
              <w:rPr>
                <w:sz w:val="20"/>
                <w:lang w:val="en-US"/>
              </w:rPr>
            </w:pPr>
            <w:r w:rsidRPr="00FE1E53">
              <w:rPr>
                <w:sz w:val="20"/>
                <w:lang w:val="en-US"/>
              </w:rPr>
              <w:t>Source</w:t>
            </w:r>
          </w:p>
        </w:tc>
      </w:tr>
      <w:tr w:rsidR="00342A23" w:rsidRPr="00FE1E53" w14:paraId="4F6F1155" w14:textId="77777777" w:rsidTr="000E090E">
        <w:trPr>
          <w:jc w:val="center"/>
        </w:trPr>
        <w:tc>
          <w:tcPr>
            <w:tcW w:w="3256" w:type="dxa"/>
            <w:vAlign w:val="center"/>
          </w:tcPr>
          <w:p w14:paraId="5ACAFE9C" w14:textId="77777777" w:rsidR="00342A23" w:rsidRPr="00FE1E53" w:rsidRDefault="00342A23" w:rsidP="00FE1E53">
            <w:pPr>
              <w:pStyle w:val="CETCaption"/>
              <w:rPr>
                <w:sz w:val="20"/>
                <w:lang w:val="en-US"/>
              </w:rPr>
            </w:pPr>
            <w:r w:rsidRPr="00FE1E53">
              <w:rPr>
                <w:sz w:val="20"/>
                <w:lang w:val="en-US"/>
              </w:rPr>
              <w:t>Number of citizens from Uzbekistan who went abroad for study</w:t>
            </w:r>
          </w:p>
        </w:tc>
        <w:tc>
          <w:tcPr>
            <w:tcW w:w="3260" w:type="dxa"/>
            <w:vAlign w:val="center"/>
          </w:tcPr>
          <w:p w14:paraId="38968A8D" w14:textId="77777777" w:rsidR="00342A23" w:rsidRPr="00FE1E53" w:rsidRDefault="00342A23" w:rsidP="00FE1E53">
            <w:pPr>
              <w:pStyle w:val="CETCaption"/>
              <w:rPr>
                <w:sz w:val="20"/>
                <w:lang w:val="en-US"/>
              </w:rPr>
            </w:pPr>
            <w:r w:rsidRPr="00FE1E53">
              <w:rPr>
                <w:sz w:val="20"/>
              </w:rPr>
              <w:t>35,900 people</w:t>
            </w:r>
          </w:p>
        </w:tc>
        <w:tc>
          <w:tcPr>
            <w:tcW w:w="1276" w:type="dxa"/>
            <w:vAlign w:val="center"/>
          </w:tcPr>
          <w:p w14:paraId="024E21F0" w14:textId="77777777" w:rsidR="00342A23" w:rsidRPr="00FE1E53" w:rsidRDefault="00342A23" w:rsidP="00FE1E53">
            <w:pPr>
              <w:pStyle w:val="CETCaption"/>
              <w:rPr>
                <w:sz w:val="20"/>
                <w:lang w:val="en-US"/>
              </w:rPr>
            </w:pPr>
            <w:r w:rsidRPr="00FE1E53">
              <w:rPr>
                <w:sz w:val="20"/>
              </w:rPr>
              <w:t>2024</w:t>
            </w:r>
          </w:p>
        </w:tc>
        <w:tc>
          <w:tcPr>
            <w:tcW w:w="2337" w:type="dxa"/>
            <w:vAlign w:val="center"/>
          </w:tcPr>
          <w:p w14:paraId="0A789815" w14:textId="77777777" w:rsidR="00342A23" w:rsidRPr="00FE1E53" w:rsidRDefault="00342A23" w:rsidP="00FE1E53">
            <w:pPr>
              <w:pStyle w:val="CETCaption"/>
              <w:rPr>
                <w:sz w:val="20"/>
                <w:lang w:val="en-US"/>
              </w:rPr>
            </w:pPr>
            <w:r w:rsidRPr="00FE1E53">
              <w:rPr>
                <w:sz w:val="20"/>
              </w:rPr>
              <w:t>Oliygoh.uz portal</w:t>
            </w:r>
          </w:p>
        </w:tc>
      </w:tr>
      <w:tr w:rsidR="00342A23" w:rsidRPr="00FE1E53" w14:paraId="5B635EE5" w14:textId="77777777" w:rsidTr="000E090E">
        <w:trPr>
          <w:jc w:val="center"/>
        </w:trPr>
        <w:tc>
          <w:tcPr>
            <w:tcW w:w="3256" w:type="dxa"/>
            <w:vAlign w:val="center"/>
          </w:tcPr>
          <w:p w14:paraId="72F8C115" w14:textId="77777777" w:rsidR="00342A23" w:rsidRPr="00FE1E53" w:rsidRDefault="00342A23" w:rsidP="00FE1E53">
            <w:pPr>
              <w:pStyle w:val="CETCaption"/>
              <w:rPr>
                <w:sz w:val="20"/>
                <w:lang w:val="en-US"/>
              </w:rPr>
            </w:pPr>
            <w:r w:rsidRPr="00FE1E53">
              <w:rPr>
                <w:sz w:val="20"/>
                <w:lang w:val="en-US"/>
              </w:rPr>
              <w:t>Number of Uzbek youth studying in Kazakhstan</w:t>
            </w:r>
          </w:p>
        </w:tc>
        <w:tc>
          <w:tcPr>
            <w:tcW w:w="3260" w:type="dxa"/>
            <w:vAlign w:val="center"/>
          </w:tcPr>
          <w:p w14:paraId="4C144408" w14:textId="77777777" w:rsidR="00342A23" w:rsidRPr="00FE1E53" w:rsidRDefault="00342A23" w:rsidP="00FE1E53">
            <w:pPr>
              <w:pStyle w:val="CETCaption"/>
              <w:rPr>
                <w:sz w:val="20"/>
                <w:lang w:val="en-US"/>
              </w:rPr>
            </w:pPr>
            <w:r w:rsidRPr="00FE1E53">
              <w:rPr>
                <w:sz w:val="20"/>
                <w:lang w:val="en-US"/>
              </w:rPr>
              <w:t>27,000 (of which full-time: 30%, correspondence: 70%)</w:t>
            </w:r>
          </w:p>
        </w:tc>
        <w:tc>
          <w:tcPr>
            <w:tcW w:w="1276" w:type="dxa"/>
            <w:vAlign w:val="center"/>
          </w:tcPr>
          <w:p w14:paraId="4082B50F" w14:textId="77777777" w:rsidR="00342A23" w:rsidRPr="00FE1E53" w:rsidRDefault="00342A23" w:rsidP="00FE1E53">
            <w:pPr>
              <w:pStyle w:val="CETCaption"/>
              <w:rPr>
                <w:sz w:val="20"/>
                <w:lang w:val="en-US"/>
              </w:rPr>
            </w:pPr>
            <w:r w:rsidRPr="00FE1E53">
              <w:rPr>
                <w:sz w:val="20"/>
              </w:rPr>
              <w:t>latest data</w:t>
            </w:r>
          </w:p>
        </w:tc>
        <w:tc>
          <w:tcPr>
            <w:tcW w:w="2337" w:type="dxa"/>
            <w:vAlign w:val="center"/>
          </w:tcPr>
          <w:p w14:paraId="7168C53B" w14:textId="77777777" w:rsidR="00342A23" w:rsidRPr="00FE1E53" w:rsidRDefault="00342A23" w:rsidP="00FE1E53">
            <w:pPr>
              <w:pStyle w:val="CETCaption"/>
              <w:rPr>
                <w:sz w:val="20"/>
                <w:lang w:val="en-US"/>
              </w:rPr>
            </w:pPr>
            <w:r w:rsidRPr="00FE1E53">
              <w:rPr>
                <w:sz w:val="20"/>
              </w:rPr>
              <w:t>ABT.uz analysis</w:t>
            </w:r>
          </w:p>
        </w:tc>
      </w:tr>
      <w:tr w:rsidR="00342A23" w:rsidRPr="00FE1E53" w14:paraId="3DB86597" w14:textId="77777777" w:rsidTr="000E090E">
        <w:trPr>
          <w:jc w:val="center"/>
        </w:trPr>
        <w:tc>
          <w:tcPr>
            <w:tcW w:w="3256" w:type="dxa"/>
            <w:vAlign w:val="center"/>
          </w:tcPr>
          <w:p w14:paraId="0E3C57C7" w14:textId="77777777" w:rsidR="00342A23" w:rsidRPr="00FE1E53" w:rsidRDefault="00342A23" w:rsidP="00FE1E53">
            <w:pPr>
              <w:pStyle w:val="CETCaption"/>
              <w:rPr>
                <w:sz w:val="20"/>
                <w:lang w:val="en-US"/>
              </w:rPr>
            </w:pPr>
            <w:r w:rsidRPr="00FE1E53">
              <w:rPr>
                <w:sz w:val="20"/>
                <w:lang w:val="en-US"/>
              </w:rPr>
              <w:t>Number of students from Uzbekistan who went to study in China</w:t>
            </w:r>
          </w:p>
        </w:tc>
        <w:tc>
          <w:tcPr>
            <w:tcW w:w="3260" w:type="dxa"/>
            <w:vAlign w:val="center"/>
          </w:tcPr>
          <w:p w14:paraId="3C0025F0" w14:textId="77777777" w:rsidR="00342A23" w:rsidRPr="00FE1E53" w:rsidRDefault="00342A23" w:rsidP="00FE1E53">
            <w:pPr>
              <w:pStyle w:val="CETCaption"/>
              <w:rPr>
                <w:sz w:val="20"/>
                <w:lang w:val="en-US"/>
              </w:rPr>
            </w:pPr>
            <w:r w:rsidRPr="00FE1E53">
              <w:rPr>
                <w:sz w:val="20"/>
              </w:rPr>
              <w:t>Over 6,500 people</w:t>
            </w:r>
          </w:p>
        </w:tc>
        <w:tc>
          <w:tcPr>
            <w:tcW w:w="1276" w:type="dxa"/>
            <w:vAlign w:val="center"/>
          </w:tcPr>
          <w:p w14:paraId="6CBC4E50" w14:textId="77777777" w:rsidR="00342A23" w:rsidRPr="00FE1E53" w:rsidRDefault="00342A23" w:rsidP="00FE1E53">
            <w:pPr>
              <w:pStyle w:val="CETCaption"/>
              <w:rPr>
                <w:sz w:val="20"/>
                <w:lang w:val="en-US"/>
              </w:rPr>
            </w:pPr>
            <w:r w:rsidRPr="00FE1E53">
              <w:rPr>
                <w:sz w:val="20"/>
              </w:rPr>
              <w:t>2023</w:t>
            </w:r>
          </w:p>
        </w:tc>
        <w:tc>
          <w:tcPr>
            <w:tcW w:w="2337" w:type="dxa"/>
            <w:vAlign w:val="center"/>
          </w:tcPr>
          <w:p w14:paraId="0F154302" w14:textId="77777777" w:rsidR="00342A23" w:rsidRPr="00FE1E53" w:rsidRDefault="00342A23" w:rsidP="00FE1E53">
            <w:pPr>
              <w:pStyle w:val="CETCaption"/>
              <w:rPr>
                <w:sz w:val="20"/>
                <w:lang w:val="en-US"/>
              </w:rPr>
            </w:pPr>
            <w:r w:rsidRPr="00FE1E53">
              <w:rPr>
                <w:sz w:val="20"/>
                <w:lang w:val="en-US"/>
              </w:rPr>
              <w:t>Oriens.uz, international conference materials</w:t>
            </w:r>
          </w:p>
        </w:tc>
      </w:tr>
      <w:tr w:rsidR="00342A23" w:rsidRPr="00FE1E53" w14:paraId="27190E2F" w14:textId="77777777" w:rsidTr="000E090E">
        <w:trPr>
          <w:jc w:val="center"/>
        </w:trPr>
        <w:tc>
          <w:tcPr>
            <w:tcW w:w="3256" w:type="dxa"/>
            <w:vAlign w:val="center"/>
          </w:tcPr>
          <w:p w14:paraId="661E1EBB" w14:textId="77777777" w:rsidR="00342A23" w:rsidRPr="00FE1E53" w:rsidRDefault="00342A23" w:rsidP="00FE1E53">
            <w:pPr>
              <w:pStyle w:val="CETCaption"/>
              <w:rPr>
                <w:sz w:val="20"/>
                <w:lang w:val="en-US"/>
              </w:rPr>
            </w:pPr>
            <w:r w:rsidRPr="00FE1E53">
              <w:rPr>
                <w:sz w:val="20"/>
                <w:lang w:val="en-US"/>
              </w:rPr>
              <w:t>Student Tourism Integration Index (STII): Kazakhstan</w:t>
            </w:r>
          </w:p>
        </w:tc>
        <w:tc>
          <w:tcPr>
            <w:tcW w:w="3260" w:type="dxa"/>
            <w:vAlign w:val="center"/>
          </w:tcPr>
          <w:p w14:paraId="2C8DD3B6" w14:textId="77777777" w:rsidR="00342A23" w:rsidRPr="00FE1E53" w:rsidRDefault="00342A23" w:rsidP="00FE1E53">
            <w:pPr>
              <w:pStyle w:val="CETCaption"/>
              <w:rPr>
                <w:sz w:val="20"/>
                <w:lang w:val="en-US"/>
              </w:rPr>
            </w:pPr>
            <w:r w:rsidRPr="00FE1E53">
              <w:rPr>
                <w:sz w:val="20"/>
              </w:rPr>
              <w:t>64.2 points (out of 100)</w:t>
            </w:r>
          </w:p>
        </w:tc>
        <w:tc>
          <w:tcPr>
            <w:tcW w:w="1276" w:type="dxa"/>
            <w:vAlign w:val="center"/>
          </w:tcPr>
          <w:p w14:paraId="57FFB68C" w14:textId="77777777" w:rsidR="00342A23" w:rsidRPr="00FE1E53" w:rsidRDefault="00342A23" w:rsidP="00FE1E53">
            <w:pPr>
              <w:pStyle w:val="CETCaption"/>
              <w:rPr>
                <w:sz w:val="20"/>
                <w:lang w:val="en-US"/>
              </w:rPr>
            </w:pPr>
            <w:r w:rsidRPr="00FE1E53">
              <w:rPr>
                <w:sz w:val="20"/>
              </w:rPr>
              <w:t>2023</w:t>
            </w:r>
          </w:p>
        </w:tc>
        <w:tc>
          <w:tcPr>
            <w:tcW w:w="2337" w:type="dxa"/>
            <w:vAlign w:val="center"/>
          </w:tcPr>
          <w:p w14:paraId="080AF300" w14:textId="77777777" w:rsidR="00342A23" w:rsidRPr="00FE1E53" w:rsidRDefault="00342A23" w:rsidP="00FE1E53">
            <w:pPr>
              <w:pStyle w:val="CETCaption"/>
              <w:rPr>
                <w:sz w:val="20"/>
                <w:lang w:val="en-US"/>
              </w:rPr>
            </w:pPr>
            <w:r w:rsidRPr="00FE1E53">
              <w:rPr>
                <w:sz w:val="20"/>
                <w:lang w:val="en-US"/>
              </w:rPr>
              <w:t>Digital Economy Scientific-Electronic Journal (pilot study)</w:t>
            </w:r>
          </w:p>
        </w:tc>
      </w:tr>
      <w:tr w:rsidR="00342A23" w:rsidRPr="00FE1E53" w14:paraId="01682C59" w14:textId="77777777" w:rsidTr="000E090E">
        <w:trPr>
          <w:jc w:val="center"/>
        </w:trPr>
        <w:tc>
          <w:tcPr>
            <w:tcW w:w="3256" w:type="dxa"/>
            <w:vAlign w:val="center"/>
          </w:tcPr>
          <w:p w14:paraId="0741E9FC" w14:textId="77777777" w:rsidR="00342A23" w:rsidRPr="00FE1E53" w:rsidRDefault="00342A23" w:rsidP="00FE1E53">
            <w:pPr>
              <w:pStyle w:val="CETCaption"/>
              <w:rPr>
                <w:sz w:val="20"/>
                <w:lang w:val="en-US"/>
              </w:rPr>
            </w:pPr>
            <w:r w:rsidRPr="00FE1E53">
              <w:rPr>
                <w:sz w:val="20"/>
                <w:lang w:val="en-US"/>
              </w:rPr>
              <w:t>Student Tourism Integration Index (STII): Uzbekistan</w:t>
            </w:r>
          </w:p>
        </w:tc>
        <w:tc>
          <w:tcPr>
            <w:tcW w:w="3260" w:type="dxa"/>
            <w:vAlign w:val="center"/>
          </w:tcPr>
          <w:p w14:paraId="06BA11E9" w14:textId="77777777" w:rsidR="00342A23" w:rsidRPr="00FE1E53" w:rsidRDefault="00342A23" w:rsidP="00FE1E53">
            <w:pPr>
              <w:pStyle w:val="CETCaption"/>
              <w:rPr>
                <w:sz w:val="20"/>
                <w:lang w:val="en-US"/>
              </w:rPr>
            </w:pPr>
            <w:r w:rsidRPr="00FE1E53">
              <w:rPr>
                <w:sz w:val="20"/>
              </w:rPr>
              <w:t>47.5 points (out of 100)</w:t>
            </w:r>
          </w:p>
        </w:tc>
        <w:tc>
          <w:tcPr>
            <w:tcW w:w="1276" w:type="dxa"/>
            <w:vAlign w:val="center"/>
          </w:tcPr>
          <w:p w14:paraId="2B4DD550" w14:textId="77777777" w:rsidR="00342A23" w:rsidRPr="00FE1E53" w:rsidRDefault="00342A23" w:rsidP="00FE1E53">
            <w:pPr>
              <w:pStyle w:val="CETCaption"/>
              <w:rPr>
                <w:sz w:val="20"/>
                <w:lang w:val="en-US"/>
              </w:rPr>
            </w:pPr>
            <w:r w:rsidRPr="00FE1E53">
              <w:rPr>
                <w:sz w:val="20"/>
              </w:rPr>
              <w:t>2023</w:t>
            </w:r>
          </w:p>
        </w:tc>
        <w:tc>
          <w:tcPr>
            <w:tcW w:w="2337" w:type="dxa"/>
            <w:vAlign w:val="center"/>
          </w:tcPr>
          <w:p w14:paraId="63FD2458" w14:textId="77777777" w:rsidR="00342A23" w:rsidRPr="00FE1E53" w:rsidRDefault="00342A23" w:rsidP="00FE1E53">
            <w:pPr>
              <w:pStyle w:val="CETCaption"/>
              <w:rPr>
                <w:sz w:val="20"/>
                <w:lang w:val="en-US"/>
              </w:rPr>
            </w:pPr>
            <w:r w:rsidRPr="00FE1E53">
              <w:rPr>
                <w:sz w:val="20"/>
                <w:lang w:val="en-US"/>
              </w:rPr>
              <w:t>"Digital Economy" Scientific-Electronic Journal (pilot study)</w:t>
            </w:r>
          </w:p>
        </w:tc>
      </w:tr>
      <w:tr w:rsidR="00342A23" w:rsidRPr="00FE1E53" w14:paraId="6F0CC3D1" w14:textId="77777777" w:rsidTr="000E090E">
        <w:trPr>
          <w:jc w:val="center"/>
        </w:trPr>
        <w:tc>
          <w:tcPr>
            <w:tcW w:w="3256" w:type="dxa"/>
            <w:vAlign w:val="center"/>
          </w:tcPr>
          <w:p w14:paraId="147A06C9" w14:textId="77777777" w:rsidR="00342A23" w:rsidRPr="00FE1E53" w:rsidRDefault="00342A23" w:rsidP="00FE1E53">
            <w:pPr>
              <w:pStyle w:val="CETCaption"/>
              <w:rPr>
                <w:sz w:val="20"/>
                <w:lang w:val="en-US"/>
              </w:rPr>
            </w:pPr>
            <w:r w:rsidRPr="00FE1E53">
              <w:rPr>
                <w:sz w:val="20"/>
                <w:lang w:val="en-US"/>
              </w:rPr>
              <w:t>The five most active Uzbek HEIs participating in Erasmus+ credit mobility projects</w:t>
            </w:r>
          </w:p>
        </w:tc>
        <w:tc>
          <w:tcPr>
            <w:tcW w:w="3260" w:type="dxa"/>
            <w:vAlign w:val="center"/>
          </w:tcPr>
          <w:p w14:paraId="28630631" w14:textId="77777777" w:rsidR="00342A23" w:rsidRPr="00FE1E53" w:rsidRDefault="00342A23" w:rsidP="00FE1E53">
            <w:pPr>
              <w:pStyle w:val="CETCaption"/>
              <w:rPr>
                <w:sz w:val="20"/>
                <w:lang w:val="en-US"/>
              </w:rPr>
            </w:pPr>
            <w:r w:rsidRPr="00FE1E53">
              <w:rPr>
                <w:sz w:val="20"/>
                <w:lang w:val="en-US"/>
              </w:rPr>
              <w:t>NUUz (27 exchanges), UzSWLU (24), SamSU (22), BSU (21), and SamSMI (21)</w:t>
            </w:r>
          </w:p>
        </w:tc>
        <w:tc>
          <w:tcPr>
            <w:tcW w:w="1276" w:type="dxa"/>
            <w:vAlign w:val="center"/>
          </w:tcPr>
          <w:p w14:paraId="79F15B7A" w14:textId="77777777" w:rsidR="00342A23" w:rsidRPr="00FE1E53" w:rsidRDefault="00342A23" w:rsidP="00FE1E53">
            <w:pPr>
              <w:pStyle w:val="CETCaption"/>
              <w:rPr>
                <w:sz w:val="20"/>
                <w:lang w:val="en-US"/>
              </w:rPr>
            </w:pPr>
            <w:r w:rsidRPr="00FE1E53">
              <w:rPr>
                <w:sz w:val="20"/>
              </w:rPr>
              <w:t>2025–2026 academic year</w:t>
            </w:r>
          </w:p>
        </w:tc>
        <w:tc>
          <w:tcPr>
            <w:tcW w:w="2337" w:type="dxa"/>
            <w:vAlign w:val="center"/>
          </w:tcPr>
          <w:p w14:paraId="3B4F5F6E" w14:textId="77777777" w:rsidR="00342A23" w:rsidRPr="00FE1E53" w:rsidRDefault="00342A23" w:rsidP="00FE1E53">
            <w:pPr>
              <w:pStyle w:val="CETCaption"/>
              <w:rPr>
                <w:sz w:val="20"/>
                <w:lang w:val="en-US"/>
              </w:rPr>
            </w:pPr>
            <w:r w:rsidRPr="00FE1E53">
              <w:rPr>
                <w:sz w:val="20"/>
                <w:lang w:val="en-US"/>
              </w:rPr>
              <w:t>Report of the Erasmus+ National Office in Uzbekistan</w:t>
            </w:r>
          </w:p>
        </w:tc>
      </w:tr>
      <w:tr w:rsidR="00342A23" w:rsidRPr="00FE1E53" w14:paraId="5A8CA964" w14:textId="77777777" w:rsidTr="000E090E">
        <w:trPr>
          <w:jc w:val="center"/>
        </w:trPr>
        <w:tc>
          <w:tcPr>
            <w:tcW w:w="3256" w:type="dxa"/>
            <w:vAlign w:val="center"/>
          </w:tcPr>
          <w:p w14:paraId="57C1265B" w14:textId="77777777" w:rsidR="00342A23" w:rsidRPr="00FE1E53" w:rsidRDefault="00342A23" w:rsidP="00FE1E53">
            <w:pPr>
              <w:pStyle w:val="CETCaption"/>
              <w:rPr>
                <w:sz w:val="20"/>
                <w:lang w:val="en-US"/>
              </w:rPr>
            </w:pPr>
            <w:r w:rsidRPr="00FE1E53">
              <w:rPr>
                <w:sz w:val="20"/>
                <w:lang w:val="en-US"/>
              </w:rPr>
              <w:t>Academic mobility in Kyrgyzstan, Tajikistan, and Turkmenistan</w:t>
            </w:r>
          </w:p>
        </w:tc>
        <w:tc>
          <w:tcPr>
            <w:tcW w:w="3260" w:type="dxa"/>
            <w:vAlign w:val="center"/>
          </w:tcPr>
          <w:p w14:paraId="27E94D99" w14:textId="77777777" w:rsidR="00342A23" w:rsidRPr="00FE1E53" w:rsidRDefault="00342A23" w:rsidP="00FE1E53">
            <w:pPr>
              <w:pStyle w:val="CETCaption"/>
              <w:rPr>
                <w:sz w:val="20"/>
                <w:lang w:val="en-US"/>
              </w:rPr>
            </w:pPr>
            <w:r w:rsidRPr="00FE1E53">
              <w:rPr>
                <w:sz w:val="20"/>
                <w:lang w:val="en-US"/>
              </w:rPr>
              <w:t>No single, comparable official statistics are available</w:t>
            </w:r>
          </w:p>
        </w:tc>
        <w:tc>
          <w:tcPr>
            <w:tcW w:w="1276" w:type="dxa"/>
            <w:vAlign w:val="center"/>
          </w:tcPr>
          <w:p w14:paraId="3C52A692" w14:textId="77777777" w:rsidR="00342A23" w:rsidRPr="00FE1E53" w:rsidRDefault="00342A23" w:rsidP="00FE1E53">
            <w:pPr>
              <w:pStyle w:val="CETCaption"/>
              <w:rPr>
                <w:sz w:val="20"/>
                <w:lang w:val="en-US"/>
              </w:rPr>
            </w:pPr>
            <w:r w:rsidRPr="00FE1E53">
              <w:rPr>
                <w:sz w:val="20"/>
                <w:lang w:val="en-US"/>
              </w:rPr>
              <w:t>–</w:t>
            </w:r>
          </w:p>
        </w:tc>
        <w:tc>
          <w:tcPr>
            <w:tcW w:w="2337" w:type="dxa"/>
            <w:vAlign w:val="center"/>
          </w:tcPr>
          <w:p w14:paraId="49CD0D86" w14:textId="77777777" w:rsidR="00342A23" w:rsidRPr="00FE1E53" w:rsidRDefault="00342A23" w:rsidP="00FE1E53">
            <w:pPr>
              <w:pStyle w:val="CETCaption"/>
              <w:rPr>
                <w:sz w:val="20"/>
                <w:lang w:val="en-US"/>
              </w:rPr>
            </w:pPr>
            <w:r w:rsidRPr="00FE1E53">
              <w:rPr>
                <w:sz w:val="20"/>
                <w:lang w:val="en-US"/>
              </w:rPr>
              <w:t>The authors of the TTII study specifically note</w:t>
            </w:r>
          </w:p>
        </w:tc>
      </w:tr>
    </w:tbl>
    <w:p w14:paraId="3978878E" w14:textId="77777777" w:rsidR="00FE1E53" w:rsidRDefault="00FE1E53" w:rsidP="004272C9">
      <w:pPr>
        <w:pStyle w:val="CETBodytext"/>
        <w:rPr>
          <w:sz w:val="20"/>
        </w:rPr>
      </w:pPr>
    </w:p>
    <w:p w14:paraId="614B47C1" w14:textId="356687E7" w:rsidR="00342A23" w:rsidRPr="00FE1E53" w:rsidRDefault="00342A23" w:rsidP="00FE1E53">
      <w:pPr>
        <w:pStyle w:val="CETBodytext"/>
        <w:ind w:firstLine="709"/>
        <w:rPr>
          <w:sz w:val="20"/>
        </w:rPr>
      </w:pPr>
      <w:r w:rsidRPr="00FE1E53">
        <w:rPr>
          <w:sz w:val="20"/>
        </w:rPr>
        <w:t xml:space="preserve">International programs play a particularly important role in the development of academic mobility. For instance, the Erasmus+ program, organized by the European Union, promotes student and staff exchanges. The Mevlana program is an international educational exchange system launched by Turkey, covering cooperation with various countries worldwide. Additionally, the Tempus program was a system </w:t>
      </w:r>
      <w:r w:rsidRPr="00FE1E53">
        <w:rPr>
          <w:sz w:val="20"/>
        </w:rPr>
        <w:lastRenderedPageBreak/>
        <w:t>that initially applied European educational experience in Central Asia and was later integrated into the Erasmus+ system.</w:t>
      </w:r>
    </w:p>
    <w:p w14:paraId="200C9C92" w14:textId="77777777" w:rsidR="00342A23" w:rsidRPr="00FE1E53" w:rsidRDefault="00342A23" w:rsidP="00FE1E53">
      <w:pPr>
        <w:pStyle w:val="CETBodytext"/>
        <w:ind w:firstLine="709"/>
        <w:rPr>
          <w:sz w:val="20"/>
        </w:rPr>
      </w:pPr>
      <w:r w:rsidRPr="00FE1E53">
        <w:rPr>
          <w:sz w:val="20"/>
        </w:rPr>
        <w:t>The dynamics of the number of students from Uzbekistan going to study in neighboring countries within the Central Asian region are noteworthy. This is one way to observe the collaborative ties in the field of education. Specifically, in 2024, 12,800 young Uzbeks went to study in neighboring Tajikistan, 4,000 in Kyrgyzstan, and 1,600 in Kazakhstan. A decrease in this figure can be observed in 2025. In particular, 5,761 young Uzbeks went to study in Tajikistan, 3,835 in Kyrgyzstan, and 1,014 in Kazakhstan. These indicators show that educational exchange processes in the region are not yet stable and that a systematic policy approach is necessary. The decline in student migration can be seen as a negative trend; however, it may also signify the improving quality of education in Uzbekistan.</w:t>
      </w:r>
    </w:p>
    <w:p w14:paraId="1EDF3E45" w14:textId="77777777" w:rsidR="00342A23" w:rsidRPr="00FE1E53" w:rsidRDefault="00342A23" w:rsidP="00FE1E53">
      <w:pPr>
        <w:pStyle w:val="CETBodytext"/>
        <w:ind w:firstLine="709"/>
        <w:rPr>
          <w:sz w:val="20"/>
        </w:rPr>
      </w:pPr>
      <w:r w:rsidRPr="00FE1E53">
        <w:rPr>
          <w:b/>
          <w:bCs/>
          <w:sz w:val="20"/>
        </w:rPr>
        <w:t xml:space="preserve">Educational Diplomacy and Regional Development. </w:t>
      </w:r>
      <w:r w:rsidRPr="00FE1E53">
        <w:rPr>
          <w:sz w:val="20"/>
        </w:rPr>
        <w:t xml:space="preserve">The regionalization of education creates contentious debates in the region regarding the preservation of national mentality, national statehood, and national identity. However, an analysis of the literature on strengthening common regional interests and regional identity shows that cooperation in the field of education is of great importance, both in social life and in the development of political and economic processes. </w:t>
      </w:r>
    </w:p>
    <w:p w14:paraId="75649D80" w14:textId="77777777" w:rsidR="00342A23" w:rsidRPr="00FE1E53" w:rsidRDefault="00342A23" w:rsidP="00FE1E53">
      <w:pPr>
        <w:pStyle w:val="CETBodytext"/>
        <w:ind w:firstLine="709"/>
        <w:rPr>
          <w:sz w:val="20"/>
        </w:rPr>
      </w:pPr>
      <w:r w:rsidRPr="00FE1E53">
        <w:rPr>
          <w:sz w:val="20"/>
        </w:rPr>
        <w:t xml:space="preserve">In Europe, the Bologna Process is considered the most successful example of the regionalization of higher education. The free movement of students, teachers, and knowledge is ensured through a common degree structure and credit transfer system </w:t>
      </w:r>
      <w:r w:rsidRPr="00FE1E53">
        <w:rPr>
          <w:i/>
          <w:iCs/>
          <w:color w:val="000000"/>
          <w:sz w:val="20"/>
          <w:lang w:eastAsia="ru-RU"/>
        </w:rPr>
        <w:t xml:space="preserve"> (Chou, M.-H., &amp; Ravinet, P. 2015) </w:t>
      </w:r>
      <w:r w:rsidRPr="00FE1E53">
        <w:rPr>
          <w:sz w:val="20"/>
        </w:rPr>
        <w:t xml:space="preserve">. In Southeast Asia, the priority of approaches aimed at achieving progress and development within the higher education region promoted by ASEAN defines the essence of cooperation in the educational sphere </w:t>
      </w:r>
      <w:r w:rsidRPr="00FE1E53">
        <w:rPr>
          <w:i/>
          <w:iCs/>
          <w:sz w:val="20"/>
        </w:rPr>
        <w:t xml:space="preserve"> (Lorenzo, M. P. 2021</w:t>
      </w:r>
      <w:r w:rsidRPr="00FE1E53">
        <w:rPr>
          <w:color w:val="000000"/>
          <w:sz w:val="20"/>
          <w:lang w:eastAsia="ru-RU"/>
        </w:rPr>
        <w:t>). Although programs such as Erasmus+ or "Educational Tourism" have been launched to develop academic mobility in Central Asia, there is no single "regional educational hub" system. It is advisable to implement the project systematically.</w:t>
      </w:r>
    </w:p>
    <w:p w14:paraId="2FFB3FCC" w14:textId="77777777" w:rsidR="00342A23" w:rsidRPr="00FE1E53" w:rsidRDefault="00342A23" w:rsidP="00FE1E53">
      <w:pPr>
        <w:pStyle w:val="CETBodytext"/>
        <w:ind w:firstLine="709"/>
        <w:rPr>
          <w:sz w:val="20"/>
        </w:rPr>
      </w:pPr>
      <w:r w:rsidRPr="00FE1E53">
        <w:rPr>
          <w:sz w:val="20"/>
        </w:rPr>
        <w:t>Although comprehensive educational cooperation with neighboring countries has not yet been systematically established in Uzbekistan, the establishment of partnerships between higher education institutions, the development of student exchanges, and collaboration in scientific research are considered important factors in strengthening regionalization (Knight, J. 2004).</w:t>
      </w:r>
    </w:p>
    <w:p w14:paraId="54CB382B" w14:textId="77777777" w:rsidR="00342A23" w:rsidRPr="00FE1E53" w:rsidRDefault="00342A23" w:rsidP="00FE1E53">
      <w:pPr>
        <w:pStyle w:val="CETBodytext"/>
        <w:ind w:firstLine="709"/>
        <w:rPr>
          <w:sz w:val="20"/>
        </w:rPr>
      </w:pPr>
      <w:r w:rsidRPr="00FE1E53">
        <w:rPr>
          <w:sz w:val="20"/>
          <w:lang w:val="uz-Cyrl-UZ"/>
        </w:rPr>
        <w:t>A key objective of Uzbekistan's policy is to transform the country into a regional education hub and to increase the number of foreign students studying in Uzbekistan to 50,000 by 2030. For Uzbekistan to become an education hub, several measures can yield positive results: improving the quality of education by implementing programs that meet international standards; opening branches of top foreign universities in Uzbekistan; attracting foreign professors and instructors; creating favorable conditions for foreign students (such as simplifying visa procedures, offering online educational services, introducing scholarships, and providing comfortable living arrangements); enhancing the prestige of higher education institutions through international accreditation; holding educational forums for mutual exchange of experience; conducting joint scientific research; and integrating academic libraries.</w:t>
      </w:r>
    </w:p>
    <w:p w14:paraId="1336B944" w14:textId="77777777" w:rsidR="00342A23" w:rsidRPr="00FE1E53" w:rsidRDefault="00342A23" w:rsidP="00FE1E53">
      <w:pPr>
        <w:pStyle w:val="CETBodytext"/>
        <w:ind w:firstLine="709"/>
        <w:rPr>
          <w:sz w:val="20"/>
        </w:rPr>
      </w:pPr>
      <w:r w:rsidRPr="00FE1E53">
        <w:rPr>
          <w:sz w:val="20"/>
        </w:rPr>
        <w:t>By becoming an education hub, Uzbekistan can not only advance its own education sector but also contribute to the development of education throughout Central Asia. Therefore, we propose the formation of an analytical center to coordinate the education systems in Central Asia.</w:t>
      </w:r>
    </w:p>
    <w:p w14:paraId="356E31E8" w14:textId="77777777" w:rsidR="00342A23" w:rsidRPr="00FE1E53" w:rsidRDefault="00342A23" w:rsidP="00FE1E53">
      <w:pPr>
        <w:pStyle w:val="CETheadingx"/>
      </w:pPr>
      <w:r w:rsidRPr="00FE1E53">
        <w:t>Conclusion.</w:t>
      </w:r>
    </w:p>
    <w:p w14:paraId="5F7D60B4" w14:textId="77777777" w:rsidR="00342A23" w:rsidRPr="00FE1E53" w:rsidRDefault="00342A23" w:rsidP="00FE1E53">
      <w:pPr>
        <w:pStyle w:val="CETBodytext"/>
        <w:ind w:firstLine="709"/>
        <w:rPr>
          <w:sz w:val="20"/>
        </w:rPr>
      </w:pPr>
      <w:r w:rsidRPr="00FE1E53">
        <w:rPr>
          <w:sz w:val="20"/>
        </w:rPr>
        <w:t>In conclusion, education is an undervalued strategic factor for integration in the Central Asian region, yet its potential is of great significance. Alongside the traditional economic and political dimensions of regional cooperation, collaboration in the education sector can serve as a solid foundation for sustainable and long-term integration.</w:t>
      </w:r>
    </w:p>
    <w:p w14:paraId="67F3C7E8" w14:textId="77777777" w:rsidR="00342A23" w:rsidRPr="00FE1E53" w:rsidRDefault="00342A23" w:rsidP="00FE1E53">
      <w:pPr>
        <w:pStyle w:val="CETBodytext"/>
        <w:ind w:firstLine="709"/>
        <w:rPr>
          <w:sz w:val="20"/>
        </w:rPr>
      </w:pPr>
      <w:r w:rsidRPr="00FE1E53">
        <w:rPr>
          <w:sz w:val="20"/>
        </w:rPr>
        <w:t>The research puts forward several conclusions: first, education-based cooperation can be more effective than economic or political mechanisms in fostering regional trust and a common identity; second, regional integration cannot realize its full potential without the development of human capital; third, "knowledge diplomacy"—educational exchanges, joint programs, and academic cooperation—must become a priority of regional policy.</w:t>
      </w:r>
    </w:p>
    <w:p w14:paraId="0E490C6A" w14:textId="77777777" w:rsidR="00342A23" w:rsidRPr="00FE1E53" w:rsidRDefault="00342A23" w:rsidP="00FE1E53">
      <w:pPr>
        <w:pStyle w:val="CETBodytext"/>
        <w:ind w:firstLine="709"/>
        <w:rPr>
          <w:sz w:val="20"/>
        </w:rPr>
      </w:pPr>
      <w:r w:rsidRPr="00FE1E53">
        <w:rPr>
          <w:sz w:val="20"/>
        </w:rPr>
        <w:t>Based on the considerations and conclusions above, we propose the formation of an analytical center to coordinate the education system in Central Asia.</w:t>
      </w:r>
    </w:p>
    <w:p w14:paraId="236DFF06" w14:textId="77777777" w:rsidR="00342A23" w:rsidRPr="00FE1E53" w:rsidRDefault="00342A23" w:rsidP="00FE1E53">
      <w:pPr>
        <w:pStyle w:val="CETBodytext"/>
        <w:ind w:firstLine="709"/>
        <w:rPr>
          <w:sz w:val="20"/>
        </w:rPr>
      </w:pPr>
      <w:r w:rsidRPr="00FE1E53">
        <w:rPr>
          <w:sz w:val="20"/>
        </w:rPr>
        <w:lastRenderedPageBreak/>
        <w:t>Important directions for future research include: conducting a comparative empirical study covering all five countries in the region; and assessing Uzbekistan's potential to become a regional education hub.</w:t>
      </w:r>
    </w:p>
    <w:p w14:paraId="4DDD4BB7" w14:textId="77777777" w:rsidR="00342A23" w:rsidRPr="00FE1E53" w:rsidRDefault="00342A23" w:rsidP="00FE1E53">
      <w:pPr>
        <w:pStyle w:val="CETheadingx"/>
      </w:pPr>
      <w:r w:rsidRPr="00FE1E53">
        <w:t>References</w:t>
      </w:r>
    </w:p>
    <w:p w14:paraId="3DAE90B6" w14:textId="77777777" w:rsidR="00342A23" w:rsidRPr="00FE1E53" w:rsidRDefault="00342A23" w:rsidP="004272C9">
      <w:pPr>
        <w:pStyle w:val="CETReference"/>
        <w:rPr>
          <w:b w:val="0"/>
          <w:bCs/>
          <w:sz w:val="20"/>
          <w:lang w:val="en-US"/>
        </w:rPr>
      </w:pPr>
      <w:r w:rsidRPr="00FE1E53">
        <w:rPr>
          <w:b w:val="0"/>
          <w:bCs/>
          <w:sz w:val="20"/>
          <w:lang w:val="en-US"/>
        </w:rPr>
        <w:t>Ambasz D., Nikolaev D. et al., 2023, Towards Higher Education Excellence in Central Asia: A Roadmap for Improving the Quality of Education and Research through Regional Integration.</w:t>
      </w:r>
    </w:p>
    <w:p w14:paraId="6CF258CD" w14:textId="77777777" w:rsidR="00342A23" w:rsidRPr="00FE1E53" w:rsidRDefault="00342A23" w:rsidP="004272C9">
      <w:pPr>
        <w:pStyle w:val="CETReference"/>
        <w:rPr>
          <w:b w:val="0"/>
          <w:bCs/>
          <w:sz w:val="20"/>
          <w:lang w:val="en-US"/>
        </w:rPr>
      </w:pPr>
      <w:r w:rsidRPr="00FE1E53">
        <w:rPr>
          <w:b w:val="0"/>
          <w:bCs/>
          <w:sz w:val="20"/>
          <w:lang w:val="en-US"/>
        </w:rPr>
        <w:t>Becker G.S., 1975, Human Capital: A Theoretical and Empirical Analysis, with Special Reference to Education, NBER, Cambridge, USA.</w:t>
      </w:r>
    </w:p>
    <w:p w14:paraId="2845A3A4" w14:textId="77777777" w:rsidR="00342A23" w:rsidRPr="00FE1E53" w:rsidRDefault="00342A23" w:rsidP="004272C9">
      <w:pPr>
        <w:pStyle w:val="CETReference"/>
        <w:rPr>
          <w:b w:val="0"/>
          <w:bCs/>
          <w:sz w:val="20"/>
          <w:lang w:val="en-US"/>
        </w:rPr>
      </w:pPr>
      <w:r w:rsidRPr="00FE1E53">
        <w:rPr>
          <w:b w:val="0"/>
          <w:bCs/>
          <w:sz w:val="20"/>
          <w:lang w:val="en-US"/>
        </w:rPr>
        <w:t>Chou M.-H., Ravinet P., 2015, The rise of 'higher education regionalism', In: The Palgrave International Handbook of Higher Education Policy and Governance, Springer, pp. 361–378.</w:t>
      </w:r>
    </w:p>
    <w:p w14:paraId="12A3851A" w14:textId="77777777" w:rsidR="00342A23" w:rsidRPr="00FE1E53" w:rsidRDefault="00342A23" w:rsidP="004272C9">
      <w:pPr>
        <w:pStyle w:val="CETReference"/>
        <w:rPr>
          <w:b w:val="0"/>
          <w:bCs/>
          <w:sz w:val="20"/>
          <w:lang w:val="en-US"/>
        </w:rPr>
      </w:pPr>
      <w:r w:rsidRPr="00FE1E53">
        <w:rPr>
          <w:b w:val="0"/>
          <w:bCs/>
          <w:sz w:val="20"/>
          <w:lang w:val="en-US"/>
        </w:rPr>
        <w:t>Chou M.-H., Ravinet P., 2017, Higher education regionalism in Europe and Southeast Asia: Comparing policy ideas, Policy and Society, 36 (1), 143–159.</w:t>
      </w:r>
    </w:p>
    <w:p w14:paraId="2635E49A" w14:textId="77777777" w:rsidR="00342A23" w:rsidRPr="00FE1E53" w:rsidRDefault="00342A23" w:rsidP="004272C9">
      <w:pPr>
        <w:pStyle w:val="CETReference"/>
        <w:rPr>
          <w:b w:val="0"/>
          <w:bCs/>
          <w:sz w:val="20"/>
          <w:lang w:val="en-US"/>
        </w:rPr>
      </w:pPr>
      <w:r w:rsidRPr="00FE1E53">
        <w:rPr>
          <w:b w:val="0"/>
          <w:bCs/>
          <w:sz w:val="20"/>
          <w:lang w:val="en-US"/>
        </w:rPr>
        <w:t>Knight J., 2004, Internationalization remodeled: Definition, approaches, and rationales, Journal of Studies in International Education, 8 (1), 5–31.</w:t>
      </w:r>
    </w:p>
    <w:p w14:paraId="7C8FBD96" w14:textId="77777777" w:rsidR="00342A23" w:rsidRPr="00FE1E53" w:rsidRDefault="00342A23" w:rsidP="004272C9">
      <w:pPr>
        <w:pStyle w:val="CETReference"/>
        <w:rPr>
          <w:b w:val="0"/>
          <w:bCs/>
          <w:sz w:val="20"/>
          <w:lang w:val="en-US"/>
        </w:rPr>
      </w:pPr>
      <w:r w:rsidRPr="00FE1E53">
        <w:rPr>
          <w:b w:val="0"/>
          <w:bCs/>
          <w:sz w:val="20"/>
          <w:lang w:val="en-US"/>
        </w:rPr>
        <w:t>Knight J., 2023, Higher education cooperation at the regional level, Journal of International and Comparative Education, DOI: 10.1108/JICE-09-2023-0021.</w:t>
      </w:r>
    </w:p>
    <w:p w14:paraId="316914EF" w14:textId="77777777" w:rsidR="00342A23" w:rsidRPr="00FE1E53" w:rsidRDefault="00342A23" w:rsidP="004272C9">
      <w:pPr>
        <w:pStyle w:val="CETReference"/>
        <w:rPr>
          <w:b w:val="0"/>
          <w:bCs/>
          <w:sz w:val="20"/>
          <w:lang w:val="en-US"/>
        </w:rPr>
      </w:pPr>
      <w:r w:rsidRPr="00FE1E53">
        <w:rPr>
          <w:b w:val="0"/>
          <w:bCs/>
          <w:sz w:val="20"/>
          <w:lang w:val="en-US"/>
        </w:rPr>
        <w:t>Lorenzo M.P., 2021, ASEAN regionalism and cross-border research of Philippine higher education, Globalisation, Societies and Education, DOI: 10.1080/14767724.2021.1973888.</w:t>
      </w:r>
    </w:p>
    <w:p w14:paraId="2754EEF7" w14:textId="77777777" w:rsidR="00342A23" w:rsidRPr="00FE1E53" w:rsidRDefault="00342A23" w:rsidP="004272C9">
      <w:pPr>
        <w:pStyle w:val="CETReference"/>
        <w:rPr>
          <w:b w:val="0"/>
          <w:bCs/>
          <w:sz w:val="20"/>
          <w:lang w:val="en-US"/>
        </w:rPr>
      </w:pPr>
      <w:r w:rsidRPr="00FE1E53">
        <w:rPr>
          <w:b w:val="0"/>
          <w:bCs/>
          <w:sz w:val="20"/>
          <w:lang w:val="en-US"/>
        </w:rPr>
        <w:t>Lorenzo M.P., 2022, The Study of Regionalism in Higher Education Research, In: Huisman J., Tight M. (Eds.), Theory and Method in Higher Education Research, Vol. 8, Emerald Publishing Limited, Bingley, pp. 17–39.</w:t>
      </w:r>
    </w:p>
    <w:p w14:paraId="006040EB" w14:textId="77777777" w:rsidR="00342A23" w:rsidRPr="00FE1E53" w:rsidRDefault="00342A23" w:rsidP="004272C9">
      <w:pPr>
        <w:pStyle w:val="CETReference"/>
        <w:rPr>
          <w:b w:val="0"/>
          <w:bCs/>
          <w:sz w:val="20"/>
          <w:lang w:val="en-US"/>
        </w:rPr>
      </w:pPr>
      <w:r w:rsidRPr="00FE1E53">
        <w:rPr>
          <w:b w:val="0"/>
          <w:bCs/>
          <w:sz w:val="20"/>
          <w:lang w:val="en-US"/>
        </w:rPr>
        <w:t>Mirziyoyev Sh.M., 2025, Central Asia on the Threshold of a New Era, president.uz/oz/lists/view/8653.</w:t>
      </w:r>
    </w:p>
    <w:p w14:paraId="07A719EB" w14:textId="77777777" w:rsidR="00342A23" w:rsidRPr="00FE1E53" w:rsidRDefault="00342A23" w:rsidP="004272C9">
      <w:pPr>
        <w:pStyle w:val="CETReference"/>
        <w:rPr>
          <w:b w:val="0"/>
          <w:bCs/>
          <w:sz w:val="20"/>
          <w:lang w:val="en-US"/>
        </w:rPr>
      </w:pPr>
      <w:r w:rsidRPr="00FE1E53">
        <w:rPr>
          <w:b w:val="0"/>
          <w:bCs/>
          <w:sz w:val="20"/>
          <w:lang w:val="en-US"/>
        </w:rPr>
        <w:t>OECD, 2023, Education at a Glance 2023: OECD Indicators, OECD Publishing, Paris, France.</w:t>
      </w:r>
    </w:p>
    <w:p w14:paraId="3099F5BC" w14:textId="77777777" w:rsidR="00342A23" w:rsidRPr="00FE1E53" w:rsidRDefault="00342A23" w:rsidP="004272C9">
      <w:pPr>
        <w:pStyle w:val="CETReference"/>
        <w:rPr>
          <w:b w:val="0"/>
          <w:bCs/>
          <w:sz w:val="20"/>
          <w:lang w:val="en-US"/>
        </w:rPr>
      </w:pPr>
      <w:r w:rsidRPr="00FE1E53">
        <w:rPr>
          <w:b w:val="0"/>
          <w:bCs/>
          <w:sz w:val="20"/>
          <w:lang w:val="en-US"/>
        </w:rPr>
        <w:t>UNESCO, 2024, Kazakhstan Promotes Regional Higher Education Cooperation through Ratification of the Tokyo Convention, unesco.org/en/articles/kazakhstan-promotes-regional-higher-education-cooperation-through-ratification-tokyo-convention.</w:t>
      </w:r>
    </w:p>
    <w:p w14:paraId="1D74F958" w14:textId="77777777" w:rsidR="00342A23" w:rsidRPr="00FE1E53" w:rsidRDefault="00342A23" w:rsidP="004272C9">
      <w:pPr>
        <w:pStyle w:val="CETReference"/>
        <w:rPr>
          <w:b w:val="0"/>
          <w:bCs/>
          <w:sz w:val="20"/>
          <w:lang w:val="en-US"/>
        </w:rPr>
      </w:pPr>
      <w:r w:rsidRPr="00FE1E53">
        <w:rPr>
          <w:b w:val="0"/>
          <w:bCs/>
          <w:sz w:val="20"/>
          <w:lang w:val="en-US"/>
        </w:rPr>
        <w:t>UNESCO IITE, 2024, 2024 High-Level Regional Policy Dialogue, UNESCO Institute for Information Technologies in Education, Moscow, Russia.</w:t>
      </w:r>
    </w:p>
    <w:p w14:paraId="2B8E5736" w14:textId="77777777" w:rsidR="00342A23" w:rsidRPr="00FE1E53" w:rsidRDefault="00342A23" w:rsidP="004272C9">
      <w:pPr>
        <w:pStyle w:val="CETReference"/>
        <w:rPr>
          <w:b w:val="0"/>
          <w:bCs/>
          <w:sz w:val="20"/>
          <w:lang w:val="en-US"/>
        </w:rPr>
      </w:pPr>
      <w:r w:rsidRPr="00FE1E53">
        <w:rPr>
          <w:b w:val="0"/>
          <w:bCs/>
          <w:sz w:val="20"/>
          <w:lang w:val="en-US"/>
        </w:rPr>
        <w:t>UzA, 2024, "Uzbekistan – a regional education hub" concept to be developed, uza.uz/uz/posts/ozbekiston-mintaqaviy-talim-xabi-koncepciyasi-ishlab-chiqiladi_758511.</w:t>
      </w:r>
    </w:p>
    <w:p w14:paraId="0EB47139" w14:textId="77777777" w:rsidR="00342A23" w:rsidRPr="00FE1E53" w:rsidRDefault="00342A23" w:rsidP="004272C9">
      <w:pPr>
        <w:pStyle w:val="CETReference"/>
        <w:rPr>
          <w:b w:val="0"/>
          <w:bCs/>
          <w:sz w:val="20"/>
          <w:lang w:val="en-US"/>
        </w:rPr>
      </w:pPr>
      <w:r w:rsidRPr="00FE1E53">
        <w:rPr>
          <w:b w:val="0"/>
          <w:bCs/>
          <w:sz w:val="20"/>
          <w:lang w:val="en-US"/>
        </w:rPr>
        <w:t>World Bank, 2018, World Development Report 2018: Learning to Realize Education's Promise, World Bank, Washington D.C., USA.</w:t>
      </w:r>
    </w:p>
    <w:p w14:paraId="3B685530" w14:textId="77777777" w:rsidR="00342A23" w:rsidRPr="00FE1E53" w:rsidRDefault="00342A23" w:rsidP="004272C9">
      <w:pPr>
        <w:pStyle w:val="CETReference"/>
        <w:rPr>
          <w:b w:val="0"/>
          <w:bCs/>
          <w:sz w:val="20"/>
          <w:lang w:val="en-US"/>
        </w:rPr>
      </w:pPr>
      <w:r w:rsidRPr="00FE1E53">
        <w:rPr>
          <w:b w:val="0"/>
          <w:bCs/>
          <w:sz w:val="20"/>
          <w:lang w:val="en-US"/>
        </w:rPr>
        <w:t>World Bank, 2019, World Development Report 2019: The Changing Nature of Work, World Bank, Washington D.C., USA.</w:t>
      </w:r>
    </w:p>
    <w:p w14:paraId="19C4FC68" w14:textId="39D6B3F6" w:rsidR="004628D2" w:rsidRPr="00FE1E53" w:rsidRDefault="00342A23" w:rsidP="004272C9">
      <w:pPr>
        <w:pStyle w:val="CETReference"/>
        <w:rPr>
          <w:b w:val="0"/>
          <w:bCs/>
          <w:sz w:val="20"/>
          <w:lang w:val="en-US"/>
        </w:rPr>
      </w:pPr>
      <w:r w:rsidRPr="00FE1E53">
        <w:rPr>
          <w:b w:val="0"/>
          <w:bCs/>
          <w:sz w:val="20"/>
          <w:lang w:val="en-US"/>
        </w:rPr>
        <w:t>World Bank, 2026, Building Human Capital Where It Matters: Homes, Neighborhoods and Workplaces, World Bank, Washington D.C., USA.</w:t>
      </w:r>
    </w:p>
    <w:sectPr w:rsidR="004628D2" w:rsidRPr="00FE1E53" w:rsidSect="00FE1E53">
      <w:type w:val="continuous"/>
      <w:pgSz w:w="11906" w:h="16838" w:code="9"/>
      <w:pgMar w:top="1701" w:right="849"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A6A2E6" w14:textId="77777777" w:rsidR="00773534" w:rsidRDefault="00773534" w:rsidP="004F5E36">
      <w:r>
        <w:separator/>
      </w:r>
    </w:p>
  </w:endnote>
  <w:endnote w:type="continuationSeparator" w:id="0">
    <w:p w14:paraId="5DD380A0" w14:textId="77777777" w:rsidR="00773534" w:rsidRDefault="00773534"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2BAF18" w14:textId="77777777" w:rsidR="00773534" w:rsidRDefault="00773534" w:rsidP="004F5E36">
      <w:r>
        <w:separator/>
      </w:r>
    </w:p>
  </w:footnote>
  <w:footnote w:type="continuationSeparator" w:id="0">
    <w:p w14:paraId="16612FC6" w14:textId="77777777" w:rsidR="00773534" w:rsidRDefault="00773534"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592080BC"/>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5541D"/>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42A23"/>
    <w:rsid w:val="003723D4"/>
    <w:rsid w:val="00381905"/>
    <w:rsid w:val="00384CC8"/>
    <w:rsid w:val="003871FD"/>
    <w:rsid w:val="003A1E30"/>
    <w:rsid w:val="003A2829"/>
    <w:rsid w:val="003A7D1C"/>
    <w:rsid w:val="003B304B"/>
    <w:rsid w:val="003B3146"/>
    <w:rsid w:val="003D1E02"/>
    <w:rsid w:val="003E3330"/>
    <w:rsid w:val="003F015E"/>
    <w:rsid w:val="00400414"/>
    <w:rsid w:val="0041446B"/>
    <w:rsid w:val="00425678"/>
    <w:rsid w:val="004272C9"/>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B5A88"/>
    <w:rsid w:val="004C194F"/>
    <w:rsid w:val="004C22F7"/>
    <w:rsid w:val="004C3D1D"/>
    <w:rsid w:val="004C3D84"/>
    <w:rsid w:val="004C7913"/>
    <w:rsid w:val="004D322C"/>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297F"/>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73534"/>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3F69"/>
    <w:rsid w:val="00BB1DDC"/>
    <w:rsid w:val="00BC30C9"/>
    <w:rsid w:val="00BD077D"/>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5072"/>
    <w:rsid w:val="00E02D18"/>
    <w:rsid w:val="00E041E7"/>
    <w:rsid w:val="00E07A45"/>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 w:val="00FE1E53"/>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E1E53"/>
    <w:pPr>
      <w:keepNext/>
      <w:numPr>
        <w:ilvl w:val="2"/>
        <w:numId w:val="1"/>
      </w:numPr>
      <w:suppressAutoHyphens/>
      <w:spacing w:before="120" w:after="120" w:line="240" w:lineRule="auto"/>
      <w:ind w:firstLine="709"/>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E1E53"/>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paragraph" w:customStyle="1" w:styleId="leading-8">
    <w:name w:val="leading-8"/>
    <w:basedOn w:val="a1"/>
    <w:rsid w:val="00342A23"/>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paragraph" w:customStyle="1" w:styleId="font-claude-response-body">
    <w:name w:val="font-claude-response-body"/>
    <w:basedOn w:val="a1"/>
    <w:rsid w:val="00342A23"/>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paragraph" w:customStyle="1" w:styleId="Title">
    <w:name w:val="Title"/>
    <w:basedOn w:val="a1"/>
    <w:next w:val="CETTitle"/>
    <w:link w:val="Title0"/>
    <w:qFormat/>
    <w:rsid w:val="00342A23"/>
    <w:pPr>
      <w:spacing w:line="276" w:lineRule="auto"/>
      <w:jc w:val="center"/>
    </w:pPr>
    <w:rPr>
      <w:rFonts w:ascii="Times New Roman" w:hAnsi="Times New Roman"/>
      <w:b/>
      <w:bCs/>
      <w:sz w:val="24"/>
      <w:szCs w:val="24"/>
      <w:lang w:val="en-US"/>
    </w:rPr>
  </w:style>
  <w:style w:type="paragraph" w:customStyle="1" w:styleId="47">
    <w:name w:val="Стиль4"/>
    <w:basedOn w:val="CETemail"/>
    <w:link w:val="48"/>
    <w:qFormat/>
    <w:rsid w:val="005B297F"/>
    <w:rPr>
      <w:rFonts w:cs="Arial"/>
      <w:color w:val="0070C0"/>
      <w:sz w:val="20"/>
      <w:u w:val="single"/>
      <w:lang w:val="fr-FR"/>
    </w:rPr>
  </w:style>
  <w:style w:type="character" w:customStyle="1" w:styleId="Title0">
    <w:name w:val="Title Знак"/>
    <w:basedOn w:val="a2"/>
    <w:link w:val="Title"/>
    <w:rsid w:val="00342A23"/>
    <w:rPr>
      <w:rFonts w:ascii="Times New Roman" w:eastAsia="Times New Roman" w:hAnsi="Times New Roman" w:cs="Times New Roman"/>
      <w:b/>
      <w:bCs/>
      <w:sz w:val="24"/>
      <w:szCs w:val="24"/>
      <w:lang w:val="en-US"/>
    </w:rPr>
  </w:style>
  <w:style w:type="paragraph" w:customStyle="1" w:styleId="57">
    <w:name w:val="Стиль5"/>
    <w:basedOn w:val="CETemail"/>
    <w:link w:val="58"/>
    <w:qFormat/>
    <w:rsid w:val="005B297F"/>
  </w:style>
  <w:style w:type="character" w:customStyle="1" w:styleId="48">
    <w:name w:val="Стиль4 Знак"/>
    <w:basedOn w:val="a2"/>
    <w:link w:val="47"/>
    <w:rsid w:val="005B297F"/>
    <w:rPr>
      <w:rFonts w:ascii="Arial" w:eastAsia="Times New Roman" w:hAnsi="Arial" w:cs="Arial"/>
      <w:noProof/>
      <w:color w:val="0070C0"/>
      <w:sz w:val="20"/>
      <w:szCs w:val="20"/>
      <w:u w:val="single"/>
      <w:lang w:val="fr-FR"/>
    </w:rPr>
  </w:style>
  <w:style w:type="character" w:customStyle="1" w:styleId="58">
    <w:name w:val="Стиль5 Знак"/>
    <w:basedOn w:val="a2"/>
    <w:link w:val="57"/>
    <w:rsid w:val="005B297F"/>
    <w:rPr>
      <w:rFonts w:ascii="Arial" w:eastAsia="Times New Roman" w:hAnsi="Arial" w:cs="Times New Roman"/>
      <w:noProof/>
      <w:sz w:val="16"/>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441712">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taqulovqahramon@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E5492-00E1-495D-8CF8-BCEFA646A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6</Pages>
  <Words>3424</Words>
  <Characters>19521</Characters>
  <Application>Microsoft Office Word</Application>
  <DocSecurity>0</DocSecurity>
  <Lines>162</Lines>
  <Paragraphs>45</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User</cp:lastModifiedBy>
  <cp:revision>4</cp:revision>
  <cp:lastPrinted>2015-05-12T18:31:00Z</cp:lastPrinted>
  <dcterms:created xsi:type="dcterms:W3CDTF">2026-07-06T12:20:00Z</dcterms:created>
  <dcterms:modified xsi:type="dcterms:W3CDTF">2026-07-06T15:20:00Z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